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7D04" w14:textId="77777777" w:rsidR="0053663E" w:rsidRPr="004D26EF" w:rsidRDefault="0053663E" w:rsidP="004F45FE">
      <w:pPr>
        <w:jc w:val="center"/>
        <w:rPr>
          <w:rFonts w:eastAsia="MS Mincho"/>
        </w:rPr>
      </w:pPr>
      <w:r w:rsidRPr="004D26EF">
        <w:rPr>
          <w:rFonts w:eastAsia="MS Mincho"/>
        </w:rPr>
        <w:t>BEFORE THE PUBLIC SERVICE COMMISSION</w:t>
      </w:r>
    </w:p>
    <w:p w14:paraId="03BDD3AE" w14:textId="77777777" w:rsidR="0053663E" w:rsidRPr="004D26EF" w:rsidRDefault="0053663E" w:rsidP="004F45FE">
      <w:pPr>
        <w:jc w:val="center"/>
        <w:rPr>
          <w:rFonts w:eastAsia="MS Mincho"/>
        </w:rPr>
      </w:pPr>
      <w:r w:rsidRPr="004D26EF">
        <w:rPr>
          <w:rFonts w:eastAsia="MS Mincho"/>
        </w:rPr>
        <w:t>STATE OF GEORGIA</w:t>
      </w:r>
    </w:p>
    <w:p w14:paraId="246E69CB" w14:textId="77777777" w:rsidR="0053663E" w:rsidRPr="0053663E" w:rsidRDefault="0053663E" w:rsidP="004F45FE">
      <w:pPr>
        <w:jc w:val="center"/>
        <w:rPr>
          <w:rFonts w:eastAsia="MS Mincho"/>
          <w:highlight w:val="yellow"/>
        </w:rPr>
      </w:pPr>
    </w:p>
    <w:p w14:paraId="03CDAA6B" w14:textId="4454DB16" w:rsidR="004D26EF" w:rsidRPr="004D26EF" w:rsidRDefault="004D26EF" w:rsidP="004F45FE">
      <w:pPr>
        <w:rPr>
          <w:rFonts w:eastAsia="MS Mincho"/>
        </w:rPr>
      </w:pPr>
      <w:r w:rsidRPr="004D26EF">
        <w:rPr>
          <w:rFonts w:eastAsia="MS Mincho"/>
        </w:rPr>
        <w:t>SAWNEE ELECTRIC MEMBERSHIP</w:t>
      </w:r>
      <w:r w:rsidRPr="004D26EF">
        <w:rPr>
          <w:rFonts w:eastAsia="MS Mincho"/>
        </w:rPr>
        <w:tab/>
      </w:r>
      <w:r w:rsidRPr="004D26EF">
        <w:rPr>
          <w:rFonts w:eastAsia="MS Mincho"/>
        </w:rPr>
        <w:tab/>
        <w:t>)</w:t>
      </w:r>
    </w:p>
    <w:p w14:paraId="040F7A3B" w14:textId="77777777" w:rsidR="004D26EF" w:rsidRPr="004D26EF" w:rsidRDefault="004D26EF" w:rsidP="004F45FE">
      <w:pPr>
        <w:rPr>
          <w:rFonts w:eastAsia="MS Mincho"/>
        </w:rPr>
      </w:pPr>
      <w:r w:rsidRPr="004D26EF">
        <w:rPr>
          <w:rFonts w:eastAsia="MS Mincho"/>
        </w:rPr>
        <w:t>CORPORATION,</w:t>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t>)</w:t>
      </w:r>
    </w:p>
    <w:p w14:paraId="578619BF" w14:textId="77777777" w:rsidR="0053663E" w:rsidRPr="004D26EF" w:rsidRDefault="0053663E" w:rsidP="004F45FE">
      <w:pPr>
        <w:rPr>
          <w:rFonts w:eastAsia="MS Mincho"/>
        </w:rPr>
      </w:pP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t>)</w:t>
      </w:r>
    </w:p>
    <w:p w14:paraId="4E96957E" w14:textId="77777777" w:rsidR="0053663E" w:rsidRPr="004D26EF" w:rsidRDefault="0053663E" w:rsidP="004F45FE">
      <w:pPr>
        <w:rPr>
          <w:rFonts w:eastAsia="MS Mincho"/>
        </w:rPr>
      </w:pPr>
      <w:r w:rsidRPr="004D26EF">
        <w:rPr>
          <w:rFonts w:eastAsia="MS Mincho"/>
        </w:rPr>
        <w:tab/>
      </w:r>
      <w:r w:rsidRPr="004D26EF">
        <w:rPr>
          <w:rFonts w:eastAsia="MS Mincho"/>
        </w:rPr>
        <w:tab/>
        <w:t>Petitioner,</w:t>
      </w:r>
      <w:r w:rsidRPr="004D26EF">
        <w:rPr>
          <w:rFonts w:eastAsia="MS Mincho"/>
        </w:rPr>
        <w:tab/>
      </w:r>
      <w:r w:rsidRPr="004D26EF">
        <w:rPr>
          <w:rFonts w:eastAsia="MS Mincho"/>
        </w:rPr>
        <w:tab/>
      </w:r>
      <w:r w:rsidRPr="004D26EF">
        <w:rPr>
          <w:rFonts w:eastAsia="MS Mincho"/>
        </w:rPr>
        <w:tab/>
      </w:r>
      <w:r w:rsidRPr="004D26EF">
        <w:rPr>
          <w:rFonts w:eastAsia="MS Mincho"/>
        </w:rPr>
        <w:tab/>
        <w:t>)</w:t>
      </w:r>
    </w:p>
    <w:p w14:paraId="01F1EC34" w14:textId="77777777" w:rsidR="0053663E" w:rsidRPr="004D26EF" w:rsidRDefault="0053663E" w:rsidP="004F45FE">
      <w:pPr>
        <w:rPr>
          <w:rFonts w:eastAsia="MS Mincho"/>
        </w:rPr>
      </w:pP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t>)</w:t>
      </w:r>
    </w:p>
    <w:p w14:paraId="38FF29CF" w14:textId="473A020A" w:rsidR="0053663E" w:rsidRPr="004D26EF" w:rsidRDefault="0053663E" w:rsidP="004F45FE">
      <w:pPr>
        <w:rPr>
          <w:rFonts w:eastAsia="MS Mincho"/>
        </w:rPr>
      </w:pPr>
      <w:r w:rsidRPr="004D26EF">
        <w:rPr>
          <w:rFonts w:eastAsia="MS Mincho"/>
        </w:rPr>
        <w:tab/>
        <w:t>v.</w:t>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t>)</w:t>
      </w:r>
      <w:r w:rsidRPr="004D26EF">
        <w:rPr>
          <w:rFonts w:eastAsia="MS Mincho"/>
        </w:rPr>
        <w:tab/>
      </w:r>
      <w:r w:rsidRPr="004D26EF">
        <w:rPr>
          <w:rFonts w:eastAsia="MS Mincho"/>
        </w:rPr>
        <w:tab/>
      </w:r>
      <w:r w:rsidRPr="004D26EF">
        <w:rPr>
          <w:rFonts w:eastAsia="MS Mincho"/>
        </w:rPr>
        <w:tab/>
        <w:t xml:space="preserve">Docket No. </w:t>
      </w:r>
      <w:r w:rsidR="004D26EF" w:rsidRPr="004D26EF">
        <w:rPr>
          <w:rFonts w:eastAsia="MS Mincho"/>
        </w:rPr>
        <w:t>43899</w:t>
      </w:r>
    </w:p>
    <w:p w14:paraId="2FF3B668" w14:textId="77777777" w:rsidR="0053663E" w:rsidRPr="004D26EF" w:rsidRDefault="0053663E" w:rsidP="004F45FE">
      <w:pPr>
        <w:rPr>
          <w:rFonts w:eastAsia="MS Mincho"/>
        </w:rPr>
      </w:pP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t>)</w:t>
      </w:r>
    </w:p>
    <w:p w14:paraId="33A973D9" w14:textId="3CC38907" w:rsidR="0053663E" w:rsidRPr="004D26EF" w:rsidRDefault="004D26EF" w:rsidP="004F45FE">
      <w:pPr>
        <w:rPr>
          <w:rFonts w:eastAsia="MS Mincho"/>
        </w:rPr>
      </w:pPr>
      <w:r w:rsidRPr="004D26EF">
        <w:rPr>
          <w:rFonts w:eastAsia="MS Mincho"/>
        </w:rPr>
        <w:t>GEORGIA POWER COMPANY,</w:t>
      </w:r>
      <w:r w:rsidRPr="004D26EF">
        <w:rPr>
          <w:rFonts w:eastAsia="MS Mincho"/>
        </w:rPr>
        <w:tab/>
      </w:r>
      <w:r w:rsidR="0053663E" w:rsidRPr="004D26EF">
        <w:rPr>
          <w:rFonts w:eastAsia="MS Mincho"/>
        </w:rPr>
        <w:tab/>
      </w:r>
      <w:r w:rsidR="0053663E" w:rsidRPr="004D26EF">
        <w:rPr>
          <w:rFonts w:eastAsia="MS Mincho"/>
        </w:rPr>
        <w:tab/>
        <w:t>)</w:t>
      </w:r>
    </w:p>
    <w:p w14:paraId="2985D754" w14:textId="77777777" w:rsidR="0053663E" w:rsidRPr="004D26EF" w:rsidRDefault="0053663E" w:rsidP="004F45FE">
      <w:pPr>
        <w:rPr>
          <w:rFonts w:eastAsia="MS Mincho"/>
        </w:rPr>
      </w:pP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r>
      <w:r w:rsidRPr="004D26EF">
        <w:rPr>
          <w:rFonts w:eastAsia="MS Mincho"/>
        </w:rPr>
        <w:tab/>
        <w:t>)</w:t>
      </w:r>
    </w:p>
    <w:p w14:paraId="0EA271F5" w14:textId="77777777" w:rsidR="0053663E" w:rsidRPr="004D26EF" w:rsidRDefault="0053663E" w:rsidP="004F45FE">
      <w:pPr>
        <w:rPr>
          <w:rFonts w:eastAsia="MS Mincho"/>
        </w:rPr>
      </w:pPr>
      <w:r w:rsidRPr="004D26EF">
        <w:rPr>
          <w:rFonts w:eastAsia="MS Mincho"/>
        </w:rPr>
        <w:tab/>
      </w:r>
      <w:r w:rsidRPr="004D26EF">
        <w:rPr>
          <w:rFonts w:eastAsia="MS Mincho"/>
        </w:rPr>
        <w:tab/>
        <w:t>Respondent.</w:t>
      </w:r>
      <w:r w:rsidRPr="004D26EF">
        <w:rPr>
          <w:rFonts w:eastAsia="MS Mincho"/>
        </w:rPr>
        <w:tab/>
      </w:r>
      <w:r w:rsidRPr="004D26EF">
        <w:rPr>
          <w:rFonts w:eastAsia="MS Mincho"/>
        </w:rPr>
        <w:tab/>
      </w:r>
      <w:r w:rsidRPr="004D26EF">
        <w:rPr>
          <w:rFonts w:eastAsia="MS Mincho"/>
        </w:rPr>
        <w:tab/>
      </w:r>
      <w:r w:rsidRPr="004D26EF">
        <w:rPr>
          <w:rFonts w:eastAsia="MS Mincho"/>
        </w:rPr>
        <w:tab/>
        <w:t>)</w:t>
      </w:r>
    </w:p>
    <w:p w14:paraId="08FA7F93" w14:textId="77777777" w:rsidR="0053663E" w:rsidRPr="004D26EF" w:rsidRDefault="0053663E" w:rsidP="004F45FE">
      <w:pPr>
        <w:rPr>
          <w:rFonts w:eastAsia="MS Mincho"/>
        </w:rPr>
      </w:pPr>
      <w:r w:rsidRPr="004D26EF">
        <w:rPr>
          <w:rFonts w:eastAsia="MS Mincho"/>
          <w:u w:val="single"/>
        </w:rPr>
        <w:tab/>
      </w:r>
      <w:r w:rsidRPr="004D26EF">
        <w:rPr>
          <w:rFonts w:eastAsia="MS Mincho"/>
          <w:u w:val="single"/>
        </w:rPr>
        <w:tab/>
      </w:r>
      <w:r w:rsidRPr="004D26EF">
        <w:rPr>
          <w:rFonts w:eastAsia="MS Mincho"/>
          <w:u w:val="single"/>
        </w:rPr>
        <w:tab/>
      </w:r>
      <w:r w:rsidRPr="004D26EF">
        <w:rPr>
          <w:rFonts w:eastAsia="MS Mincho"/>
          <w:u w:val="single"/>
        </w:rPr>
        <w:tab/>
      </w:r>
      <w:r w:rsidRPr="004D26EF">
        <w:rPr>
          <w:rFonts w:eastAsia="MS Mincho"/>
          <w:u w:val="single"/>
        </w:rPr>
        <w:tab/>
      </w:r>
      <w:r w:rsidRPr="004D26EF">
        <w:rPr>
          <w:rFonts w:eastAsia="MS Mincho"/>
          <w:u w:val="single"/>
        </w:rPr>
        <w:tab/>
      </w:r>
      <w:r w:rsidRPr="004D26EF">
        <w:rPr>
          <w:rFonts w:eastAsia="MS Mincho"/>
          <w:u w:val="single"/>
        </w:rPr>
        <w:tab/>
      </w:r>
      <w:r w:rsidRPr="004D26EF">
        <w:rPr>
          <w:rFonts w:eastAsia="MS Mincho"/>
        </w:rPr>
        <w:t>)</w:t>
      </w:r>
    </w:p>
    <w:p w14:paraId="0CFCED64" w14:textId="77777777" w:rsidR="0053663E" w:rsidRPr="0053663E" w:rsidRDefault="0053663E" w:rsidP="004F45FE">
      <w:pPr>
        <w:rPr>
          <w:rFonts w:eastAsia="MS Mincho"/>
          <w:highlight w:val="yellow"/>
        </w:rPr>
      </w:pPr>
    </w:p>
    <w:p w14:paraId="5E2BD7A3" w14:textId="77777777" w:rsidR="0053663E" w:rsidRPr="0053663E" w:rsidRDefault="0053663E" w:rsidP="004F45FE">
      <w:pPr>
        <w:rPr>
          <w:rFonts w:eastAsia="MS Mincho"/>
          <w:highlight w:val="yellow"/>
        </w:rPr>
      </w:pPr>
    </w:p>
    <w:p w14:paraId="077CF7B2" w14:textId="77777777" w:rsidR="00DC58E1" w:rsidRDefault="007755BC" w:rsidP="004F45FE">
      <w:pPr>
        <w:jc w:val="center"/>
        <w:rPr>
          <w:rFonts w:eastAsia="MS Mincho"/>
          <w:b/>
          <w:bCs/>
          <w:u w:val="single"/>
        </w:rPr>
      </w:pPr>
      <w:r>
        <w:rPr>
          <w:rFonts w:eastAsia="MS Mincho"/>
          <w:b/>
          <w:bCs/>
          <w:u w:val="single"/>
        </w:rPr>
        <w:t>GEORGIA POWER COMPANY’S</w:t>
      </w:r>
      <w:r w:rsidR="0053663E" w:rsidRPr="004D26EF">
        <w:rPr>
          <w:rFonts w:eastAsia="MS Mincho"/>
          <w:b/>
          <w:bCs/>
          <w:u w:val="single"/>
        </w:rPr>
        <w:t xml:space="preserve"> RESPONSE TO </w:t>
      </w:r>
      <w:r w:rsidR="004D26EF" w:rsidRPr="004D26EF">
        <w:rPr>
          <w:rFonts w:eastAsia="MS Mincho"/>
          <w:b/>
          <w:bCs/>
          <w:u w:val="single"/>
        </w:rPr>
        <w:t>SAWNEE</w:t>
      </w:r>
      <w:r w:rsidR="0053663E" w:rsidRPr="004D26EF">
        <w:rPr>
          <w:rFonts w:eastAsia="MS Mincho"/>
          <w:b/>
          <w:bCs/>
          <w:u w:val="single"/>
        </w:rPr>
        <w:t xml:space="preserve"> ELECTRIC MEMBERSHIP CORPORATION’S APPLICATION </w:t>
      </w:r>
    </w:p>
    <w:p w14:paraId="52FC7EE7" w14:textId="735B0FE0" w:rsidR="0053663E" w:rsidRPr="004D26EF" w:rsidRDefault="0053663E" w:rsidP="004F45FE">
      <w:pPr>
        <w:jc w:val="center"/>
        <w:rPr>
          <w:rFonts w:eastAsia="MS Mincho"/>
          <w:b/>
          <w:bCs/>
          <w:u w:val="single"/>
        </w:rPr>
      </w:pPr>
      <w:r w:rsidRPr="004D26EF">
        <w:rPr>
          <w:rFonts w:eastAsia="MS Mincho"/>
          <w:b/>
          <w:bCs/>
          <w:u w:val="single"/>
        </w:rPr>
        <w:t>FOR FULL COMMISSION REVIEW</w:t>
      </w:r>
    </w:p>
    <w:p w14:paraId="555C3106" w14:textId="77777777" w:rsidR="00131659" w:rsidRPr="0053663E" w:rsidRDefault="00131659" w:rsidP="004F45FE">
      <w:pPr>
        <w:rPr>
          <w:rFonts w:eastAsia="MS Mincho"/>
          <w:highlight w:val="yellow"/>
        </w:rPr>
      </w:pPr>
    </w:p>
    <w:p w14:paraId="2942FF69" w14:textId="24C9990E" w:rsidR="00131659" w:rsidRDefault="0053663E" w:rsidP="004F45FE">
      <w:pPr>
        <w:spacing w:line="480" w:lineRule="auto"/>
        <w:jc w:val="both"/>
        <w:rPr>
          <w:rFonts w:eastAsia="MS Mincho"/>
        </w:rPr>
      </w:pPr>
      <w:r w:rsidRPr="004D26EF">
        <w:rPr>
          <w:rFonts w:eastAsia="MS Mincho"/>
        </w:rPr>
        <w:tab/>
        <w:t xml:space="preserve">COMES NOW, Georgia Power Company (“Georgia Power”) pursuant to O.C.G.A. § 50-13-17(a), and hereby submits </w:t>
      </w:r>
      <w:r w:rsidR="007755BC">
        <w:rPr>
          <w:rFonts w:eastAsia="MS Mincho"/>
        </w:rPr>
        <w:t xml:space="preserve">this </w:t>
      </w:r>
      <w:r w:rsidR="00C10196">
        <w:rPr>
          <w:rFonts w:eastAsia="MS Mincho"/>
        </w:rPr>
        <w:t>r</w:t>
      </w:r>
      <w:r w:rsidRPr="004D26EF">
        <w:rPr>
          <w:rFonts w:eastAsia="MS Mincho"/>
        </w:rPr>
        <w:t xml:space="preserve">esponse to </w:t>
      </w:r>
      <w:r w:rsidRPr="00F3290C">
        <w:rPr>
          <w:rFonts w:eastAsia="MS Mincho"/>
        </w:rPr>
        <w:t>the Application for Full Commission Review</w:t>
      </w:r>
      <w:r w:rsidR="00F3290C" w:rsidRPr="00F3290C">
        <w:rPr>
          <w:rFonts w:eastAsia="MS Mincho"/>
        </w:rPr>
        <w:t xml:space="preserve"> of Hearing Officer’s Initial Decision</w:t>
      </w:r>
      <w:r w:rsidRPr="00F3290C">
        <w:rPr>
          <w:rFonts w:eastAsia="MS Mincho"/>
        </w:rPr>
        <w:t xml:space="preserve"> (“Application”) </w:t>
      </w:r>
      <w:r w:rsidRPr="004D26EF">
        <w:rPr>
          <w:rFonts w:eastAsia="MS Mincho"/>
        </w:rPr>
        <w:t xml:space="preserve">filed by </w:t>
      </w:r>
      <w:r w:rsidR="004D26EF" w:rsidRPr="004D26EF">
        <w:rPr>
          <w:rFonts w:eastAsia="MS Mincho"/>
        </w:rPr>
        <w:t>Sawnee</w:t>
      </w:r>
      <w:r w:rsidRPr="004D26EF">
        <w:rPr>
          <w:rFonts w:eastAsia="MS Mincho"/>
        </w:rPr>
        <w:t xml:space="preserve"> Electric Membership Corporation (“</w:t>
      </w:r>
      <w:r w:rsidR="004D26EF" w:rsidRPr="004D26EF">
        <w:rPr>
          <w:rFonts w:eastAsia="MS Mincho"/>
        </w:rPr>
        <w:t>Sawnee</w:t>
      </w:r>
      <w:r w:rsidRPr="004D26EF">
        <w:rPr>
          <w:rFonts w:eastAsia="MS Mincho"/>
        </w:rPr>
        <w:t xml:space="preserve"> EMC”</w:t>
      </w:r>
      <w:r w:rsidR="00BC502F">
        <w:rPr>
          <w:rFonts w:eastAsia="MS Mincho"/>
        </w:rPr>
        <w:t xml:space="preserve"> or “Sawnee”</w:t>
      </w:r>
      <w:r w:rsidRPr="004D26EF">
        <w:rPr>
          <w:rFonts w:eastAsia="MS Mincho"/>
        </w:rPr>
        <w:t xml:space="preserve">) </w:t>
      </w:r>
      <w:r w:rsidRPr="00F3290C">
        <w:rPr>
          <w:rFonts w:eastAsia="MS Mincho"/>
        </w:rPr>
        <w:t>in</w:t>
      </w:r>
      <w:r w:rsidRPr="004D26EF">
        <w:rPr>
          <w:rFonts w:eastAsia="MS Mincho"/>
        </w:rPr>
        <w:t xml:space="preserve"> </w:t>
      </w:r>
      <w:r w:rsidR="00DC7041">
        <w:rPr>
          <w:rFonts w:eastAsia="MS Mincho"/>
        </w:rPr>
        <w:t xml:space="preserve">this </w:t>
      </w:r>
      <w:r w:rsidRPr="004D26EF">
        <w:rPr>
          <w:rFonts w:eastAsia="MS Mincho"/>
        </w:rPr>
        <w:t>proceeding.</w:t>
      </w:r>
      <w:r w:rsidR="00DC58E1">
        <w:rPr>
          <w:rFonts w:eastAsia="MS Mincho"/>
        </w:rPr>
        <w:t xml:space="preserve"> </w:t>
      </w:r>
      <w:r w:rsidRPr="004D26EF">
        <w:rPr>
          <w:rFonts w:eastAsia="MS Mincho"/>
        </w:rPr>
        <w:t xml:space="preserve">On </w:t>
      </w:r>
      <w:r w:rsidR="004D26EF" w:rsidRPr="004D26EF">
        <w:rPr>
          <w:rFonts w:eastAsia="MS Mincho"/>
        </w:rPr>
        <w:t>May</w:t>
      </w:r>
      <w:r w:rsidRPr="004D26EF">
        <w:rPr>
          <w:rFonts w:eastAsia="MS Mincho"/>
        </w:rPr>
        <w:t xml:space="preserve"> </w:t>
      </w:r>
      <w:r w:rsidR="004D26EF" w:rsidRPr="004D26EF">
        <w:rPr>
          <w:rFonts w:eastAsia="MS Mincho"/>
        </w:rPr>
        <w:t>24</w:t>
      </w:r>
      <w:r w:rsidRPr="004D26EF">
        <w:rPr>
          <w:rFonts w:eastAsia="MS Mincho"/>
        </w:rPr>
        <w:t>, 20</w:t>
      </w:r>
      <w:r w:rsidR="004D26EF" w:rsidRPr="004D26EF">
        <w:rPr>
          <w:rFonts w:eastAsia="MS Mincho"/>
        </w:rPr>
        <w:t>22</w:t>
      </w:r>
      <w:r w:rsidRPr="004D26EF">
        <w:rPr>
          <w:rFonts w:eastAsia="MS Mincho"/>
        </w:rPr>
        <w:t>, the Hearing Officer issued a</w:t>
      </w:r>
      <w:r w:rsidR="00B309AC">
        <w:rPr>
          <w:rFonts w:eastAsia="MS Mincho"/>
        </w:rPr>
        <w:t>n Initial</w:t>
      </w:r>
      <w:r w:rsidRPr="004D26EF">
        <w:rPr>
          <w:rFonts w:eastAsia="MS Mincho"/>
        </w:rPr>
        <w:t xml:space="preserve"> </w:t>
      </w:r>
      <w:r w:rsidR="00B309AC">
        <w:rPr>
          <w:rFonts w:eastAsia="MS Mincho"/>
        </w:rPr>
        <w:t>D</w:t>
      </w:r>
      <w:r w:rsidRPr="004D26EF">
        <w:rPr>
          <w:rFonts w:eastAsia="MS Mincho"/>
        </w:rPr>
        <w:t>ecision</w:t>
      </w:r>
      <w:r w:rsidR="00DC58E1">
        <w:rPr>
          <w:rFonts w:eastAsia="MS Mincho"/>
        </w:rPr>
        <w:t>,</w:t>
      </w:r>
      <w:r w:rsidRPr="004D26EF">
        <w:rPr>
          <w:rFonts w:eastAsia="MS Mincho"/>
        </w:rPr>
        <w:t xml:space="preserve"> which rightfully found that Georgia Power is the lawful electric supplier to</w:t>
      </w:r>
      <w:r w:rsidR="00ED2D91">
        <w:rPr>
          <w:rFonts w:eastAsia="MS Mincho"/>
        </w:rPr>
        <w:t xml:space="preserve"> </w:t>
      </w:r>
      <w:r w:rsidR="00B425BA">
        <w:rPr>
          <w:rFonts w:eastAsia="MS Mincho"/>
        </w:rPr>
        <w:t>an electric vehicle charging station located</w:t>
      </w:r>
      <w:r w:rsidR="0085453D">
        <w:rPr>
          <w:rFonts w:eastAsia="MS Mincho"/>
        </w:rPr>
        <w:t xml:space="preserve"> </w:t>
      </w:r>
      <w:r w:rsidR="00ED2D91">
        <w:rPr>
          <w:rFonts w:eastAsia="MS Mincho"/>
        </w:rPr>
        <w:t xml:space="preserve">at </w:t>
      </w:r>
      <w:r w:rsidR="0085453D">
        <w:rPr>
          <w:rFonts w:eastAsia="MS Mincho"/>
        </w:rPr>
        <w:t xml:space="preserve">the </w:t>
      </w:r>
      <w:r w:rsidR="00ED2D91">
        <w:rPr>
          <w:rFonts w:eastAsia="MS Mincho"/>
        </w:rPr>
        <w:t xml:space="preserve">Johns Creek Town Center Shopping Mall, 3630 Peachtree Parkway, Suwanee, Georgia </w:t>
      </w:r>
      <w:r w:rsidR="00ED2D91" w:rsidRPr="00ED2D91">
        <w:rPr>
          <w:rFonts w:eastAsia="MS Mincho"/>
        </w:rPr>
        <w:t xml:space="preserve">30024 </w:t>
      </w:r>
      <w:r w:rsidRPr="00ED2D91">
        <w:rPr>
          <w:rFonts w:eastAsia="MS Mincho"/>
        </w:rPr>
        <w:t>(the “Premises”).</w:t>
      </w:r>
      <w:r w:rsidR="0085453D">
        <w:rPr>
          <w:rFonts w:eastAsia="MS Mincho"/>
        </w:rPr>
        <w:t xml:space="preserve"> </w:t>
      </w:r>
      <w:r w:rsidRPr="00ED2D91">
        <w:rPr>
          <w:rFonts w:eastAsia="MS Mincho"/>
        </w:rPr>
        <w:t xml:space="preserve">In its Application, </w:t>
      </w:r>
      <w:r w:rsidR="004D26EF" w:rsidRPr="00ED2D91">
        <w:rPr>
          <w:rFonts w:eastAsia="MS Mincho"/>
        </w:rPr>
        <w:t>Sawnee</w:t>
      </w:r>
      <w:r w:rsidRPr="00ED2D91">
        <w:rPr>
          <w:rFonts w:eastAsia="MS Mincho"/>
        </w:rPr>
        <w:t xml:space="preserve"> EMC requests that the Georgia Public Service Commission (the “Commission”) review the Hearing Officer’s Initial Decision</w:t>
      </w:r>
      <w:r w:rsidR="005265AB">
        <w:rPr>
          <w:rFonts w:eastAsia="MS Mincho"/>
        </w:rPr>
        <w:t>. Sawnee wrongly</w:t>
      </w:r>
      <w:r w:rsidR="00C10196">
        <w:rPr>
          <w:rFonts w:eastAsia="MS Mincho"/>
        </w:rPr>
        <w:t xml:space="preserve"> </w:t>
      </w:r>
      <w:r w:rsidR="00DC7041">
        <w:rPr>
          <w:rFonts w:eastAsia="MS Mincho"/>
        </w:rPr>
        <w:t>alleg</w:t>
      </w:r>
      <w:r w:rsidR="005265AB">
        <w:rPr>
          <w:rFonts w:eastAsia="MS Mincho"/>
        </w:rPr>
        <w:t>es</w:t>
      </w:r>
      <w:r w:rsidR="00DC7041">
        <w:rPr>
          <w:rFonts w:eastAsia="MS Mincho"/>
        </w:rPr>
        <w:t xml:space="preserve"> errors </w:t>
      </w:r>
      <w:r w:rsidR="005265AB">
        <w:rPr>
          <w:rFonts w:eastAsia="MS Mincho"/>
        </w:rPr>
        <w:t xml:space="preserve">by the Hearing Officer </w:t>
      </w:r>
      <w:r w:rsidR="00DC58E1">
        <w:rPr>
          <w:rFonts w:eastAsia="MS Mincho"/>
        </w:rPr>
        <w:t>based on</w:t>
      </w:r>
      <w:r w:rsidR="005265AB">
        <w:rPr>
          <w:rFonts w:eastAsia="MS Mincho"/>
        </w:rPr>
        <w:t xml:space="preserve"> what Sawnee contends is</w:t>
      </w:r>
      <w:r w:rsidR="00DC58E1">
        <w:rPr>
          <w:rFonts w:eastAsia="MS Mincho"/>
        </w:rPr>
        <w:t xml:space="preserve"> an incorrect reading and mischaracterization of prior Commission precedent</w:t>
      </w:r>
      <w:r w:rsidRPr="00ED2D91">
        <w:rPr>
          <w:rFonts w:eastAsia="MS Mincho"/>
        </w:rPr>
        <w:t>.</w:t>
      </w:r>
      <w:r w:rsidR="00DC58E1">
        <w:rPr>
          <w:rFonts w:eastAsia="MS Mincho"/>
        </w:rPr>
        <w:t xml:space="preserve"> </w:t>
      </w:r>
      <w:r w:rsidR="005265AB">
        <w:rPr>
          <w:rFonts w:eastAsia="MS Mincho"/>
        </w:rPr>
        <w:t xml:space="preserve">Sawnee’s arguments are without merit. </w:t>
      </w:r>
      <w:r w:rsidR="0089431D">
        <w:rPr>
          <w:rFonts w:eastAsia="MS Mincho"/>
        </w:rPr>
        <w:t>Therefore</w:t>
      </w:r>
      <w:r w:rsidRPr="00ED2D91">
        <w:rPr>
          <w:rFonts w:eastAsia="MS Mincho"/>
        </w:rPr>
        <w:t xml:space="preserve">, Georgia Power asks that the </w:t>
      </w:r>
      <w:r w:rsidRPr="00ED2D91">
        <w:rPr>
          <w:rFonts w:eastAsia="MS Mincho"/>
        </w:rPr>
        <w:lastRenderedPageBreak/>
        <w:t>Commission</w:t>
      </w:r>
      <w:r w:rsidR="00C10196">
        <w:rPr>
          <w:rFonts w:eastAsia="MS Mincho"/>
        </w:rPr>
        <w:t xml:space="preserve"> </w:t>
      </w:r>
      <w:r w:rsidR="00DC7041" w:rsidRPr="00ED2D91">
        <w:rPr>
          <w:rFonts w:eastAsia="MS Mincho"/>
        </w:rPr>
        <w:t xml:space="preserve">deny Sawnee EMC’s Application for a full Commission review </w:t>
      </w:r>
      <w:r w:rsidR="00DC7041">
        <w:rPr>
          <w:rFonts w:eastAsia="MS Mincho"/>
        </w:rPr>
        <w:t xml:space="preserve">and </w:t>
      </w:r>
      <w:r w:rsidRPr="00ED2D91">
        <w:rPr>
          <w:rFonts w:eastAsia="MS Mincho"/>
        </w:rPr>
        <w:t xml:space="preserve">adopt the Hearing Officer’s decision </w:t>
      </w:r>
      <w:r w:rsidR="00DC7041">
        <w:rPr>
          <w:rFonts w:eastAsia="MS Mincho"/>
        </w:rPr>
        <w:t>in full</w:t>
      </w:r>
      <w:r w:rsidRPr="00ED2D91">
        <w:rPr>
          <w:rFonts w:eastAsia="MS Mincho"/>
        </w:rPr>
        <w:t xml:space="preserve">. </w:t>
      </w:r>
    </w:p>
    <w:p w14:paraId="7C77E330" w14:textId="3C4BC29A" w:rsidR="0053663E" w:rsidRPr="00ED2D91" w:rsidRDefault="00131659" w:rsidP="004F45FE">
      <w:pPr>
        <w:spacing w:before="240" w:after="240" w:line="480" w:lineRule="auto"/>
        <w:jc w:val="both"/>
        <w:rPr>
          <w:rFonts w:eastAsia="MS Mincho"/>
          <w:b/>
          <w:bCs/>
        </w:rPr>
      </w:pPr>
      <w:r w:rsidRPr="00416E04">
        <w:rPr>
          <w:rFonts w:eastAsia="MS Mincho"/>
          <w:b/>
          <w:bCs/>
        </w:rPr>
        <w:t>I</w:t>
      </w:r>
      <w:r w:rsidR="0053663E" w:rsidRPr="00416E04">
        <w:rPr>
          <w:rFonts w:eastAsia="MS Mincho"/>
          <w:b/>
          <w:bCs/>
        </w:rPr>
        <w:t>.</w:t>
      </w:r>
      <w:r w:rsidR="0053663E" w:rsidRPr="00416E04">
        <w:rPr>
          <w:rFonts w:eastAsia="MS Mincho"/>
          <w:b/>
          <w:bCs/>
        </w:rPr>
        <w:tab/>
        <w:t>PROCEDURAL BACKGROUND</w:t>
      </w:r>
    </w:p>
    <w:p w14:paraId="1E53A2F3" w14:textId="65017125" w:rsidR="0053663E" w:rsidRDefault="0053663E" w:rsidP="004F45FE">
      <w:pPr>
        <w:spacing w:line="480" w:lineRule="auto"/>
        <w:jc w:val="both"/>
        <w:rPr>
          <w:rFonts w:eastAsia="MS Mincho"/>
        </w:rPr>
      </w:pPr>
      <w:r w:rsidRPr="00ED2D91">
        <w:rPr>
          <w:rFonts w:eastAsia="MS Mincho"/>
          <w:b/>
          <w:bCs/>
        </w:rPr>
        <w:tab/>
      </w:r>
      <w:r w:rsidRPr="00ED2D91">
        <w:rPr>
          <w:rFonts w:eastAsia="MS Mincho"/>
        </w:rPr>
        <w:t xml:space="preserve">Both Georgia Power and </w:t>
      </w:r>
      <w:r w:rsidR="00ED2D91" w:rsidRPr="00ED2D91">
        <w:rPr>
          <w:rFonts w:eastAsia="MS Mincho"/>
        </w:rPr>
        <w:t>Sawnee</w:t>
      </w:r>
      <w:r w:rsidRPr="00ED2D91">
        <w:rPr>
          <w:rFonts w:eastAsia="MS Mincho"/>
        </w:rPr>
        <w:t xml:space="preserve"> EMC are subject to the jurisdiction of the Commission because they are electric suppliers as defined by the Georgia Territorial Electric Service Act, O.C.G.A. §§ 46-3-1 through 46-3-15 (the “Territorial Act”).</w:t>
      </w:r>
      <w:r w:rsidR="00DC58E1">
        <w:rPr>
          <w:rFonts w:eastAsia="MS Mincho"/>
        </w:rPr>
        <w:t xml:space="preserve"> </w:t>
      </w:r>
      <w:r w:rsidRPr="00ED2D91">
        <w:rPr>
          <w:rFonts w:eastAsia="MS Mincho"/>
        </w:rPr>
        <w:t xml:space="preserve">This dispute concerns the provision of electric service to </w:t>
      </w:r>
      <w:r w:rsidR="00ED2D91" w:rsidRPr="00ED2D91">
        <w:rPr>
          <w:rFonts w:eastAsia="MS Mincho"/>
        </w:rPr>
        <w:t>the Premises</w:t>
      </w:r>
      <w:r w:rsidR="003B3CEF">
        <w:rPr>
          <w:rFonts w:eastAsia="MS Mincho"/>
        </w:rPr>
        <w:t xml:space="preserve"> and the application of the large load exception</w:t>
      </w:r>
      <w:r w:rsidR="0089431D">
        <w:rPr>
          <w:rFonts w:eastAsia="MS Mincho"/>
        </w:rPr>
        <w:t xml:space="preserve"> of the Territorial Act set forth under</w:t>
      </w:r>
      <w:r w:rsidR="003B3CEF">
        <w:rPr>
          <w:rFonts w:eastAsia="MS Mincho"/>
        </w:rPr>
        <w:t xml:space="preserve"> O.C.G.A. § 46-3-8(a).</w:t>
      </w:r>
      <w:r w:rsidR="00572D8B">
        <w:rPr>
          <w:rFonts w:eastAsia="MS Mincho"/>
        </w:rPr>
        <w:t xml:space="preserve"> </w:t>
      </w:r>
      <w:r w:rsidR="001D33F0">
        <w:rPr>
          <w:rFonts w:eastAsia="MS Mincho"/>
        </w:rPr>
        <w:t>Notwithstanding the service territory assignments under the Territorial Act, the large load exception under O.C.G.A. § 46-3-8(a) permits any electric supplier to serve one or more new premises, if the premises (i) is utilized by one consumer, (ii) has single-metered connected service, (iii)</w:t>
      </w:r>
      <w:r w:rsidR="00572D8B" w:rsidRPr="00572D8B">
        <w:rPr>
          <w:rFonts w:eastAsia="MS Mincho"/>
        </w:rPr>
        <w:t xml:space="preserve"> </w:t>
      </w:r>
      <w:r w:rsidR="001D33F0">
        <w:rPr>
          <w:rFonts w:eastAsia="MS Mincho"/>
        </w:rPr>
        <w:t>has a connected load which, at the time of initial full operation of the premises, is 900 kilowatts (</w:t>
      </w:r>
      <w:r w:rsidR="004811D9">
        <w:rPr>
          <w:rFonts w:eastAsia="MS Mincho"/>
        </w:rPr>
        <w:t>“</w:t>
      </w:r>
      <w:r w:rsidR="001D33F0">
        <w:rPr>
          <w:rFonts w:eastAsia="MS Mincho"/>
        </w:rPr>
        <w:t>kW</w:t>
      </w:r>
      <w:r w:rsidR="004811D9">
        <w:rPr>
          <w:rFonts w:eastAsia="MS Mincho"/>
        </w:rPr>
        <w:t>”</w:t>
      </w:r>
      <w:r w:rsidR="001D33F0">
        <w:rPr>
          <w:rFonts w:eastAsia="MS Mincho"/>
        </w:rPr>
        <w:t>) or greater, and (iv) is located outside the limits of a municipality. (</w:t>
      </w:r>
      <w:r w:rsidR="001D33F0" w:rsidRPr="001D33F0">
        <w:rPr>
          <w:rFonts w:eastAsia="MS Mincho"/>
          <w:i/>
          <w:iCs/>
        </w:rPr>
        <w:t>Initial Decision</w:t>
      </w:r>
      <w:r w:rsidR="001D33F0">
        <w:rPr>
          <w:rFonts w:eastAsia="MS Mincho"/>
        </w:rPr>
        <w:t xml:space="preserve"> 2.) </w:t>
      </w:r>
      <w:r w:rsidR="003B3CEF">
        <w:rPr>
          <w:rFonts w:eastAsia="MS Mincho"/>
        </w:rPr>
        <w:t>T</w:t>
      </w:r>
      <w:r w:rsidR="005265AB">
        <w:rPr>
          <w:rFonts w:eastAsia="MS Mincho"/>
        </w:rPr>
        <w:t xml:space="preserve">he Commission has authority and jurisdiction </w:t>
      </w:r>
      <w:r w:rsidR="00572D8B">
        <w:rPr>
          <w:rFonts w:eastAsia="MS Mincho"/>
        </w:rPr>
        <w:t xml:space="preserve">to hear and resolve this complaint </w:t>
      </w:r>
      <w:r w:rsidR="005265AB">
        <w:rPr>
          <w:rFonts w:eastAsia="MS Mincho"/>
        </w:rPr>
        <w:t>pursuant to O.C.G.A</w:t>
      </w:r>
      <w:r w:rsidR="003B3CEF">
        <w:rPr>
          <w:rFonts w:eastAsia="MS Mincho"/>
        </w:rPr>
        <w:t xml:space="preserve"> </w:t>
      </w:r>
      <w:r w:rsidR="003B3CEF" w:rsidRPr="00ED2D91">
        <w:rPr>
          <w:rFonts w:eastAsia="MS Mincho"/>
        </w:rPr>
        <w:t>§§</w:t>
      </w:r>
      <w:r w:rsidR="003B3CEF">
        <w:rPr>
          <w:rFonts w:eastAsia="MS Mincho"/>
        </w:rPr>
        <w:t xml:space="preserve"> 46-2-50, 46-2-58, </w:t>
      </w:r>
      <w:r w:rsidR="00572D8B">
        <w:rPr>
          <w:rFonts w:eastAsia="MS Mincho"/>
        </w:rPr>
        <w:t xml:space="preserve">46-3-12, </w:t>
      </w:r>
      <w:r w:rsidR="003B3CEF">
        <w:rPr>
          <w:rFonts w:eastAsia="MS Mincho"/>
        </w:rPr>
        <w:t>46-3-13, and 50-13-13.</w:t>
      </w:r>
      <w:r w:rsidRPr="00ED2D91">
        <w:rPr>
          <w:rFonts w:eastAsia="MS Mincho"/>
        </w:rPr>
        <w:t xml:space="preserve"> </w:t>
      </w:r>
    </w:p>
    <w:p w14:paraId="65CA5CB1" w14:textId="5DCC64C5" w:rsidR="00BC502F" w:rsidRDefault="00BC502F" w:rsidP="004F45FE">
      <w:pPr>
        <w:pStyle w:val="BodyText"/>
        <w:keepNext/>
        <w:widowControl/>
        <w:spacing w:after="0" w:line="480" w:lineRule="auto"/>
        <w:jc w:val="both"/>
      </w:pPr>
      <w:r>
        <w:t xml:space="preserve">On May 21, 2021, Sawnee EMC filed </w:t>
      </w:r>
      <w:r w:rsidR="00FD6FCA">
        <w:t>a c</w:t>
      </w:r>
      <w:r>
        <w:t>omplaint</w:t>
      </w:r>
      <w:r w:rsidR="00FD6FCA">
        <w:t xml:space="preserve"> with this Commission</w:t>
      </w:r>
      <w:r>
        <w:t xml:space="preserve"> alleging that Georgia Power is unlawfully serving </w:t>
      </w:r>
      <w:r w:rsidR="003B3CEF">
        <w:t>the Premises, which is</w:t>
      </w:r>
      <w:r>
        <w:t xml:space="preserve"> located in Sawnee EMC</w:t>
      </w:r>
      <w:r w:rsidR="00084941">
        <w:t>’s assigned service territory</w:t>
      </w:r>
      <w:r w:rsidR="00FD6FCA">
        <w:t xml:space="preserve"> (the “Complaint”)</w:t>
      </w:r>
      <w:r>
        <w:t xml:space="preserve">. (Complaint </w:t>
      </w:r>
      <w:r w:rsidRPr="007864E8">
        <w:t>¶</w:t>
      </w:r>
      <w:r>
        <w:t xml:space="preserve"> 6.) Specifically, Sawnee EMC allege</w:t>
      </w:r>
      <w:r w:rsidR="00FD6FCA">
        <w:t>d</w:t>
      </w:r>
      <w:r>
        <w:t xml:space="preserve"> that Georgia Power</w:t>
      </w:r>
      <w:r w:rsidR="00084941">
        <w:t xml:space="preserve"> inappropriately</w:t>
      </w:r>
      <w:r>
        <w:t xml:space="preserve"> extended electric service to the Premises over Sawnee EMC’s objections. (</w:t>
      </w:r>
      <w:r w:rsidRPr="007864E8">
        <w:t>Complaint ¶¶ 7</w:t>
      </w:r>
      <w:r>
        <w:t xml:space="preserve">-8.) Sawnee EMC </w:t>
      </w:r>
      <w:r w:rsidR="00FD6FCA">
        <w:t>argued</w:t>
      </w:r>
      <w:r>
        <w:t xml:space="preserve">, </w:t>
      </w:r>
      <w:r w:rsidRPr="00C11635">
        <w:rPr>
          <w:i/>
          <w:iCs/>
        </w:rPr>
        <w:t>inter alia</w:t>
      </w:r>
      <w:r>
        <w:t>, that the EV charging stations “do not satisfy the requirements of O.C.G.A. § 46</w:t>
      </w:r>
      <w:r>
        <w:noBreakHyphen/>
        <w:t>3</w:t>
      </w:r>
      <w:r>
        <w:noBreakHyphen/>
        <w:t>8(a) and do not</w:t>
      </w:r>
      <w:r w:rsidR="00FD6FCA">
        <w:t>, therefore,</w:t>
      </w:r>
      <w:r>
        <w:t xml:space="preserve"> qualify for customer </w:t>
      </w:r>
      <w:r>
        <w:lastRenderedPageBreak/>
        <w:t>choice under the Territorial Act.” (</w:t>
      </w:r>
      <w:r w:rsidRPr="007864E8">
        <w:t>Complaint</w:t>
      </w:r>
      <w:r>
        <w:t xml:space="preserve"> </w:t>
      </w:r>
      <w:r w:rsidRPr="007864E8">
        <w:t>¶¶</w:t>
      </w:r>
      <w:r>
        <w:t xml:space="preserve"> 10-11.) Georgia Power filed its Answer on June 21, 2021.</w:t>
      </w:r>
    </w:p>
    <w:p w14:paraId="1F52DA9A" w14:textId="77777777" w:rsidR="00BC502F" w:rsidRDefault="00BC502F" w:rsidP="004F45FE">
      <w:pPr>
        <w:pStyle w:val="BodyText"/>
        <w:widowControl/>
        <w:spacing w:after="0" w:line="480" w:lineRule="auto"/>
        <w:jc w:val="both"/>
      </w:pPr>
      <w:r>
        <w:t>The matter was set for hearing before the Hearing Officer pursuant to a Procedural and Scheduling Order, which set the following question to be decided:</w:t>
      </w:r>
    </w:p>
    <w:p w14:paraId="03BF7E90" w14:textId="78D1D24D" w:rsidR="00BC502F" w:rsidRPr="00BC502F" w:rsidRDefault="00BC502F" w:rsidP="004F45FE">
      <w:pPr>
        <w:pStyle w:val="BodyText"/>
        <w:widowControl/>
        <w:ind w:left="720" w:right="720" w:firstLine="0"/>
        <w:jc w:val="both"/>
      </w:pPr>
      <w:r>
        <w:t>Whether Georgia Power has the right, under O.C.G.A. § 46</w:t>
      </w:r>
      <w:r>
        <w:noBreakHyphen/>
        <w:t>3</w:t>
      </w:r>
      <w:r>
        <w:noBreakHyphen/>
        <w:t>8(a), to serve the Premises located in Johns Creek Town Center, 3630 Peachtree Parkway, Suwanee, Georgia 30024 (the “Premises”).</w:t>
      </w:r>
    </w:p>
    <w:p w14:paraId="5D8758BF" w14:textId="3911A31E" w:rsidR="0053663E" w:rsidRDefault="0053663E" w:rsidP="004F45FE">
      <w:pPr>
        <w:spacing w:line="480" w:lineRule="auto"/>
        <w:jc w:val="both"/>
        <w:rPr>
          <w:rFonts w:eastAsia="MS Mincho"/>
        </w:rPr>
      </w:pPr>
      <w:r w:rsidRPr="00416E04">
        <w:rPr>
          <w:rFonts w:eastAsia="MS Mincho"/>
        </w:rPr>
        <w:tab/>
      </w:r>
      <w:r w:rsidRPr="00ED2D91">
        <w:rPr>
          <w:rFonts w:eastAsia="MS Mincho"/>
        </w:rPr>
        <w:t xml:space="preserve">A hearing was held on </w:t>
      </w:r>
      <w:r w:rsidR="00ED2D91" w:rsidRPr="00ED2D91">
        <w:rPr>
          <w:rFonts w:eastAsia="MS Mincho"/>
        </w:rPr>
        <w:t>January</w:t>
      </w:r>
      <w:r w:rsidRPr="00ED2D91">
        <w:rPr>
          <w:rFonts w:eastAsia="MS Mincho"/>
        </w:rPr>
        <w:t xml:space="preserve"> </w:t>
      </w:r>
      <w:r w:rsidR="00ED2D91" w:rsidRPr="00ED2D91">
        <w:rPr>
          <w:rFonts w:eastAsia="MS Mincho"/>
        </w:rPr>
        <w:t>21</w:t>
      </w:r>
      <w:r w:rsidRPr="00ED2D91">
        <w:rPr>
          <w:rFonts w:eastAsia="MS Mincho"/>
        </w:rPr>
        <w:t>, 20</w:t>
      </w:r>
      <w:r w:rsidR="00ED2D91" w:rsidRPr="00ED2D91">
        <w:rPr>
          <w:rFonts w:eastAsia="MS Mincho"/>
        </w:rPr>
        <w:t>22</w:t>
      </w:r>
      <w:r w:rsidRPr="00ED2D91">
        <w:rPr>
          <w:rFonts w:eastAsia="MS Mincho"/>
        </w:rPr>
        <w:t xml:space="preserve"> and briefs were subsequently filed</w:t>
      </w:r>
      <w:r w:rsidR="00416E04">
        <w:rPr>
          <w:rFonts w:eastAsia="MS Mincho"/>
        </w:rPr>
        <w:t>, along with answers to a series of questions posed by the Hearing Officer</w:t>
      </w:r>
      <w:r w:rsidRPr="00ED2D91">
        <w:rPr>
          <w:rFonts w:eastAsia="MS Mincho"/>
        </w:rPr>
        <w:t xml:space="preserve">. </w:t>
      </w:r>
      <w:r w:rsidR="00DC58E1">
        <w:rPr>
          <w:rFonts w:eastAsia="MS Mincho"/>
        </w:rPr>
        <w:t>O</w:t>
      </w:r>
      <w:r w:rsidRPr="00ED2D91">
        <w:rPr>
          <w:rFonts w:eastAsia="MS Mincho"/>
        </w:rPr>
        <w:t xml:space="preserve">n </w:t>
      </w:r>
      <w:r w:rsidR="00ED2D91" w:rsidRPr="00ED2D91">
        <w:rPr>
          <w:rFonts w:eastAsia="MS Mincho"/>
        </w:rPr>
        <w:t>May</w:t>
      </w:r>
      <w:r w:rsidRPr="00ED2D91">
        <w:rPr>
          <w:rFonts w:eastAsia="MS Mincho"/>
        </w:rPr>
        <w:t xml:space="preserve"> </w:t>
      </w:r>
      <w:r w:rsidR="00ED2D91" w:rsidRPr="00ED2D91">
        <w:rPr>
          <w:rFonts w:eastAsia="MS Mincho"/>
        </w:rPr>
        <w:t>24</w:t>
      </w:r>
      <w:r w:rsidRPr="00ED2D91">
        <w:rPr>
          <w:rFonts w:eastAsia="MS Mincho"/>
        </w:rPr>
        <w:t>, 20</w:t>
      </w:r>
      <w:r w:rsidR="00ED2D91" w:rsidRPr="00ED2D91">
        <w:rPr>
          <w:rFonts w:eastAsia="MS Mincho"/>
        </w:rPr>
        <w:t>22</w:t>
      </w:r>
      <w:r w:rsidRPr="00ED2D91">
        <w:rPr>
          <w:rFonts w:eastAsia="MS Mincho"/>
        </w:rPr>
        <w:t xml:space="preserve">, the Hearing Officer issued </w:t>
      </w:r>
      <w:r w:rsidR="00ED2D91" w:rsidRPr="00ED2D91">
        <w:rPr>
          <w:rFonts w:eastAsia="MS Mincho"/>
        </w:rPr>
        <w:t>her</w:t>
      </w:r>
      <w:r w:rsidRPr="00ED2D91">
        <w:rPr>
          <w:rFonts w:eastAsia="MS Mincho"/>
        </w:rPr>
        <w:t xml:space="preserve"> Initial Decision </w:t>
      </w:r>
      <w:r w:rsidR="00084941">
        <w:rPr>
          <w:rFonts w:eastAsia="MS Mincho"/>
        </w:rPr>
        <w:t>finding</w:t>
      </w:r>
      <w:r w:rsidRPr="00ED2D91">
        <w:rPr>
          <w:rFonts w:eastAsia="MS Mincho"/>
        </w:rPr>
        <w:t xml:space="preserve"> that Georgia Power is the rightful supplier of electricity to the Premises.</w:t>
      </w:r>
      <w:r w:rsidR="00DC58E1">
        <w:rPr>
          <w:rFonts w:eastAsia="MS Mincho"/>
        </w:rPr>
        <w:t xml:space="preserve"> </w:t>
      </w:r>
      <w:r w:rsidRPr="00416E04">
        <w:rPr>
          <w:rFonts w:eastAsia="MS Mincho"/>
        </w:rPr>
        <w:t xml:space="preserve">On </w:t>
      </w:r>
      <w:r w:rsidR="00C01947" w:rsidRPr="00416E04">
        <w:rPr>
          <w:rFonts w:eastAsia="MS Mincho"/>
        </w:rPr>
        <w:t>June</w:t>
      </w:r>
      <w:r w:rsidRPr="00416E04">
        <w:rPr>
          <w:rFonts w:eastAsia="MS Mincho"/>
        </w:rPr>
        <w:t xml:space="preserve"> </w:t>
      </w:r>
      <w:r w:rsidR="00416E04" w:rsidRPr="00416E04">
        <w:rPr>
          <w:rFonts w:eastAsia="MS Mincho"/>
        </w:rPr>
        <w:t>26</w:t>
      </w:r>
      <w:r w:rsidRPr="00416E04">
        <w:rPr>
          <w:rFonts w:eastAsia="MS Mincho"/>
        </w:rPr>
        <w:t xml:space="preserve">, </w:t>
      </w:r>
      <w:r w:rsidR="00C01947" w:rsidRPr="00416E04">
        <w:rPr>
          <w:rFonts w:eastAsia="MS Mincho"/>
        </w:rPr>
        <w:t>2022</w:t>
      </w:r>
      <w:r w:rsidRPr="00416E04">
        <w:rPr>
          <w:rFonts w:eastAsia="MS Mincho"/>
        </w:rPr>
        <w:t xml:space="preserve">, </w:t>
      </w:r>
      <w:r w:rsidR="00ED2D91" w:rsidRPr="00ED2D91">
        <w:rPr>
          <w:rFonts w:eastAsia="MS Mincho"/>
        </w:rPr>
        <w:t>Sawnee</w:t>
      </w:r>
      <w:r w:rsidRPr="00ED2D91">
        <w:rPr>
          <w:rFonts w:eastAsia="MS Mincho"/>
        </w:rPr>
        <w:t xml:space="preserve"> EMC filed its Application </w:t>
      </w:r>
      <w:r w:rsidR="00CA77AD">
        <w:rPr>
          <w:rFonts w:eastAsia="MS Mincho"/>
        </w:rPr>
        <w:t xml:space="preserve">for </w:t>
      </w:r>
      <w:r w:rsidRPr="00ED2D91">
        <w:rPr>
          <w:rFonts w:eastAsia="MS Mincho"/>
        </w:rPr>
        <w:t xml:space="preserve">Commission review </w:t>
      </w:r>
      <w:r w:rsidR="00CA77AD">
        <w:rPr>
          <w:rFonts w:eastAsia="MS Mincho"/>
        </w:rPr>
        <w:t xml:space="preserve">of </w:t>
      </w:r>
      <w:r w:rsidRPr="00ED2D91">
        <w:rPr>
          <w:rFonts w:eastAsia="MS Mincho"/>
        </w:rPr>
        <w:t>the Hearing Officer’s Initial Decision.</w:t>
      </w:r>
    </w:p>
    <w:p w14:paraId="701158F7" w14:textId="417567C9" w:rsidR="00416E04" w:rsidRDefault="00416E04" w:rsidP="004F45FE">
      <w:pPr>
        <w:keepNext/>
        <w:spacing w:before="240" w:after="240"/>
        <w:jc w:val="both"/>
        <w:rPr>
          <w:rFonts w:eastAsia="MS Mincho"/>
          <w:b/>
          <w:bCs/>
        </w:rPr>
      </w:pPr>
      <w:r>
        <w:rPr>
          <w:rFonts w:eastAsia="MS Mincho"/>
          <w:b/>
          <w:bCs/>
        </w:rPr>
        <w:t>II</w:t>
      </w:r>
      <w:r w:rsidRPr="00EB4DDC">
        <w:rPr>
          <w:rFonts w:eastAsia="MS Mincho"/>
          <w:b/>
          <w:bCs/>
        </w:rPr>
        <w:t>.</w:t>
      </w:r>
      <w:r w:rsidRPr="00EB4DDC">
        <w:rPr>
          <w:rFonts w:eastAsia="MS Mincho"/>
          <w:b/>
          <w:bCs/>
        </w:rPr>
        <w:tab/>
      </w:r>
      <w:r>
        <w:rPr>
          <w:rFonts w:eastAsia="MS Mincho"/>
          <w:b/>
          <w:bCs/>
        </w:rPr>
        <w:t>FACTUAL BACKGROUND</w:t>
      </w:r>
    </w:p>
    <w:p w14:paraId="5B21E00E" w14:textId="77777777" w:rsidR="00416E04" w:rsidRDefault="00416E04" w:rsidP="004F45FE">
      <w:pPr>
        <w:keepNext/>
        <w:jc w:val="both"/>
        <w:rPr>
          <w:rFonts w:eastAsia="MS Mincho"/>
          <w:b/>
          <w:bCs/>
        </w:rPr>
      </w:pPr>
    </w:p>
    <w:p w14:paraId="3B15DC3D" w14:textId="035E8817" w:rsidR="00416E04" w:rsidRPr="00B24FC5" w:rsidRDefault="00264B53" w:rsidP="004F45FE">
      <w:pPr>
        <w:keepNext/>
        <w:spacing w:line="480" w:lineRule="auto"/>
        <w:ind w:firstLine="720"/>
        <w:jc w:val="both"/>
      </w:pPr>
      <w:r>
        <w:t xml:space="preserve">This case concerns single-metered electric service to </w:t>
      </w:r>
      <w:r w:rsidR="00B425BA">
        <w:t xml:space="preserve">the Premises, </w:t>
      </w:r>
      <w:r>
        <w:t>a newly constructed array of high-speed Direct Current EV chargers</w:t>
      </w:r>
      <w:r w:rsidR="00B425BA">
        <w:t xml:space="preserve"> </w:t>
      </w:r>
      <w:r w:rsidR="00B425BA" w:rsidRPr="00B425BA">
        <w:t>owned and operated by Electrify America. (Tr. 120:5-9.) The Premises consists of six power cabinets, each with a nameplate rating of 190 kW, connected to four electric vehicle chargers (two 350 kW chargers and two 175 kW chargers)</w:t>
      </w:r>
      <w:r w:rsidR="00B425BA">
        <w:t xml:space="preserve">. </w:t>
      </w:r>
      <w:r>
        <w:t xml:space="preserve">Georgia Power provides </w:t>
      </w:r>
      <w:r w:rsidR="00CA77AD">
        <w:t xml:space="preserve">retail </w:t>
      </w:r>
      <w:r>
        <w:t xml:space="preserve">electric service to Electrify America at the Premises. Electrify America’s equipment at the Premises </w:t>
      </w:r>
      <w:r w:rsidR="00FD6FCA">
        <w:t xml:space="preserve">consumes the </w:t>
      </w:r>
      <w:r>
        <w:t>alternating current</w:t>
      </w:r>
      <w:r w:rsidR="00DC58E1">
        <w:t xml:space="preserve"> (“AC”)</w:t>
      </w:r>
      <w:r w:rsidR="00FD6FCA">
        <w:t xml:space="preserve"> power Georgia Power provides to Electrify America as the consumer of retail electric service. Electrify America’s </w:t>
      </w:r>
      <w:r w:rsidR="00FD6FCA">
        <w:lastRenderedPageBreak/>
        <w:t xml:space="preserve">equipment </w:t>
      </w:r>
      <w:r w:rsidR="003033D1">
        <w:t xml:space="preserve">uses </w:t>
      </w:r>
      <w:r w:rsidR="00FD6FCA">
        <w:t>the AC power</w:t>
      </w:r>
      <w:r w:rsidR="003033D1">
        <w:t>, converting it</w:t>
      </w:r>
      <w:r>
        <w:t xml:space="preserve"> to direct current</w:t>
      </w:r>
      <w:r w:rsidR="00DC58E1">
        <w:t xml:space="preserve"> (“DC”) power</w:t>
      </w:r>
      <w:r w:rsidR="003033D1">
        <w:t>,</w:t>
      </w:r>
      <w:r>
        <w:t xml:space="preserve"> and</w:t>
      </w:r>
      <w:r w:rsidR="00DC58E1">
        <w:t xml:space="preserve"> subsequently</w:t>
      </w:r>
      <w:r>
        <w:t xml:space="preserve"> </w:t>
      </w:r>
      <w:r w:rsidR="0089431D">
        <w:t xml:space="preserve">provides </w:t>
      </w:r>
      <w:r>
        <w:t xml:space="preserve">high-speed </w:t>
      </w:r>
      <w:r w:rsidR="00B24FC5">
        <w:t>DC</w:t>
      </w:r>
      <w:r>
        <w:t xml:space="preserve"> charging service to </w:t>
      </w:r>
      <w:r w:rsidR="00B24FC5">
        <w:t>the public</w:t>
      </w:r>
      <w:r>
        <w:t>. (Tr. 45-46, 82, 205-06, 250.)</w:t>
      </w:r>
    </w:p>
    <w:p w14:paraId="35436BDA" w14:textId="5B1CA540" w:rsidR="00264B53" w:rsidRPr="00541EC3" w:rsidRDefault="00264B53" w:rsidP="004F45FE">
      <w:pPr>
        <w:pStyle w:val="BodyText"/>
        <w:widowControl/>
        <w:spacing w:before="240"/>
        <w:ind w:left="1440" w:hanging="720"/>
        <w:jc w:val="both"/>
        <w:rPr>
          <w:b/>
          <w:bCs/>
        </w:rPr>
      </w:pPr>
      <w:r w:rsidRPr="00541EC3">
        <w:rPr>
          <w:b/>
          <w:bCs/>
        </w:rPr>
        <w:t>A.</w:t>
      </w:r>
      <w:r w:rsidRPr="00541EC3">
        <w:rPr>
          <w:b/>
          <w:bCs/>
        </w:rPr>
        <w:tab/>
      </w:r>
      <w:r w:rsidR="00FD6FCA" w:rsidRPr="00FD6FCA">
        <w:rPr>
          <w:b/>
          <w:bCs/>
        </w:rPr>
        <w:t>Both Georgia Power and Sawnee EMC Responded to Electrify America’s Solicitation of Bids for Electric Services</w:t>
      </w:r>
      <w:r w:rsidRPr="00541EC3">
        <w:rPr>
          <w:b/>
          <w:bCs/>
        </w:rPr>
        <w:t>.</w:t>
      </w:r>
    </w:p>
    <w:p w14:paraId="768D6920" w14:textId="03AA0346" w:rsidR="00264B53" w:rsidRPr="00541EC3" w:rsidRDefault="00264B53" w:rsidP="004F45FE">
      <w:pPr>
        <w:pStyle w:val="BodyText"/>
        <w:widowControl/>
        <w:spacing w:before="240" w:after="0" w:line="480" w:lineRule="auto"/>
        <w:jc w:val="both"/>
      </w:pPr>
      <w:r w:rsidRPr="00541EC3">
        <w:t xml:space="preserve">On June 1, 2020, Electrify America solicited bids from Georgia Power and Sawnee EMC for electric service </w:t>
      </w:r>
      <w:r w:rsidR="00FD6FCA">
        <w:t>to</w:t>
      </w:r>
      <w:r w:rsidR="00FD6FCA" w:rsidRPr="00541EC3">
        <w:t xml:space="preserve"> </w:t>
      </w:r>
      <w:r w:rsidRPr="00541EC3">
        <w:t xml:space="preserve">the Premises. (Tr. 36, 40, 120, 168.) </w:t>
      </w:r>
      <w:r w:rsidR="00541EC3" w:rsidRPr="00541EC3">
        <w:t>Over</w:t>
      </w:r>
      <w:r w:rsidRPr="00541EC3">
        <w:t xml:space="preserve"> a series of emails, Electrify America informed both Georgia Power and Sawnee EMC that </w:t>
      </w:r>
      <w:r w:rsidR="00541EC3" w:rsidRPr="00541EC3">
        <w:t>it</w:t>
      </w:r>
      <w:r w:rsidRPr="00541EC3">
        <w:t xml:space="preserve"> sought bids for an EV charging station, noting that “[t]he load at the site will be 1,000 kilowatts.” (Tr. 40, 120</w:t>
      </w:r>
      <w:r w:rsidR="00541EC3">
        <w:t>; GPC Exhibit 1</w:t>
      </w:r>
      <w:r w:rsidRPr="00541EC3">
        <w:t xml:space="preserve">.) </w:t>
      </w:r>
    </w:p>
    <w:p w14:paraId="2A06F626" w14:textId="5BE4BA2B" w:rsidR="00264B53" w:rsidRPr="00541EC3" w:rsidRDefault="00264B53" w:rsidP="004F45FE">
      <w:pPr>
        <w:pStyle w:val="BodyText"/>
        <w:widowControl/>
        <w:spacing w:after="0" w:line="480" w:lineRule="auto"/>
        <w:jc w:val="both"/>
      </w:pPr>
      <w:r w:rsidRPr="00541EC3">
        <w:t>Both Georgia Power and Sawnee EMC submitted bids for consideration. (Tr. 168.) E</w:t>
      </w:r>
      <w:r w:rsidR="00541EC3">
        <w:t xml:space="preserve">lectrify </w:t>
      </w:r>
      <w:r w:rsidRPr="00541EC3">
        <w:t>A</w:t>
      </w:r>
      <w:r w:rsidR="00541EC3">
        <w:t>merica</w:t>
      </w:r>
      <w:r w:rsidRPr="00541EC3">
        <w:t xml:space="preserve"> ultimately selected Georgia Power as the electric supplier for the Premises. (Tr. 51, 121.) Sawnee EMC, the assigned electric service supplier </w:t>
      </w:r>
      <w:r w:rsidR="00FD6FCA">
        <w:t>for the area</w:t>
      </w:r>
      <w:r w:rsidRPr="00541EC3">
        <w:t>, never objected to Electrify America’s request for bid</w:t>
      </w:r>
      <w:r w:rsidR="00CA77AD">
        <w:t>s</w:t>
      </w:r>
      <w:r w:rsidRPr="00541EC3">
        <w:t xml:space="preserve"> or informed Electrify America that Sawnee EMC did not believe the Premises qualified as a customer choice project. (Tr. 41-42.) Nonetheless, following Electrify America’s selection of Georgia Power to provide electric service to the Premises, Sawnee EMC objected. (Tr. 51.) </w:t>
      </w:r>
    </w:p>
    <w:p w14:paraId="681DDDA7" w14:textId="2E0AB18C" w:rsidR="00264B53" w:rsidRPr="00541EC3" w:rsidRDefault="00264B53" w:rsidP="004F45FE">
      <w:pPr>
        <w:pStyle w:val="BodyText"/>
        <w:widowControl/>
        <w:spacing w:after="0" w:line="480" w:lineRule="auto"/>
        <w:jc w:val="both"/>
      </w:pPr>
      <w:r w:rsidRPr="00541EC3">
        <w:t xml:space="preserve">Following the selection of its bid, Georgia Power began providing electric service to the Premises. Specifically, Georgia Power provides exclusively </w:t>
      </w:r>
      <w:r w:rsidR="00FD6FCA">
        <w:t>AC</w:t>
      </w:r>
      <w:r w:rsidR="00541EC3">
        <w:t xml:space="preserve"> electricity</w:t>
      </w:r>
      <w:r w:rsidRPr="00541EC3">
        <w:t xml:space="preserve"> to the Premises as it does with all its retail customers. (Tr. 254.) Electrify America</w:t>
      </w:r>
      <w:r w:rsidR="00FD6FCA">
        <w:t xml:space="preserve"> then</w:t>
      </w:r>
      <w:r w:rsidRPr="00541EC3">
        <w:t xml:space="preserve"> pays Georgia Power for the retail electric service </w:t>
      </w:r>
      <w:r w:rsidR="00FD6FCA">
        <w:t>it consumes</w:t>
      </w:r>
      <w:r w:rsidR="00FD6FCA" w:rsidRPr="00541EC3">
        <w:t xml:space="preserve"> </w:t>
      </w:r>
      <w:r w:rsidRPr="00541EC3">
        <w:t xml:space="preserve">at the Premises. (Tr. 88.) With </w:t>
      </w:r>
      <w:r w:rsidR="00FD6FCA">
        <w:t>respect</w:t>
      </w:r>
      <w:r w:rsidR="00FD6FCA" w:rsidRPr="00541EC3">
        <w:t xml:space="preserve"> </w:t>
      </w:r>
      <w:r w:rsidRPr="00541EC3">
        <w:t xml:space="preserve">to the charging stations, there </w:t>
      </w:r>
      <w:r w:rsidR="00FD6FCA">
        <w:t>is</w:t>
      </w:r>
      <w:r w:rsidR="00FD6FCA" w:rsidRPr="00541EC3">
        <w:t xml:space="preserve"> </w:t>
      </w:r>
      <w:r w:rsidRPr="00541EC3">
        <w:t xml:space="preserve">no relationship between Georgia Power and the </w:t>
      </w:r>
      <w:r w:rsidR="0080772B">
        <w:t>EV</w:t>
      </w:r>
      <w:r w:rsidRPr="00541EC3">
        <w:t xml:space="preserve"> drivers </w:t>
      </w:r>
      <w:r w:rsidR="00FD6FCA">
        <w:t>who utilize</w:t>
      </w:r>
      <w:r w:rsidR="00FD6FCA" w:rsidRPr="00541EC3">
        <w:t xml:space="preserve"> </w:t>
      </w:r>
      <w:r w:rsidRPr="00541EC3">
        <w:t>the charging services</w:t>
      </w:r>
      <w:r w:rsidR="00FD6FCA">
        <w:t xml:space="preserve"> provided by Electrify America</w:t>
      </w:r>
      <w:r w:rsidRPr="00541EC3">
        <w:t xml:space="preserve">. (Tr. 89-90.) </w:t>
      </w:r>
    </w:p>
    <w:p w14:paraId="5CCD454E" w14:textId="77777777" w:rsidR="00264B53" w:rsidRPr="00541EC3" w:rsidRDefault="00264B53" w:rsidP="00350967">
      <w:pPr>
        <w:pStyle w:val="BodyText"/>
        <w:keepNext/>
        <w:widowControl/>
        <w:spacing w:after="0" w:line="480" w:lineRule="auto"/>
        <w:ind w:firstLine="0"/>
        <w:jc w:val="both"/>
        <w:rPr>
          <w:b/>
          <w:bCs/>
        </w:rPr>
      </w:pPr>
      <w:r w:rsidRPr="00541EC3">
        <w:rPr>
          <w:b/>
          <w:bCs/>
        </w:rPr>
        <w:lastRenderedPageBreak/>
        <w:tab/>
        <w:t>B.</w:t>
      </w:r>
      <w:r w:rsidRPr="00541EC3">
        <w:rPr>
          <w:b/>
          <w:bCs/>
        </w:rPr>
        <w:tab/>
        <w:t>Technical Layout of the Premises.</w:t>
      </w:r>
    </w:p>
    <w:p w14:paraId="49E8A1EB" w14:textId="65806E86" w:rsidR="00264B53" w:rsidRPr="00541EC3" w:rsidRDefault="00264B53" w:rsidP="00350967">
      <w:pPr>
        <w:pStyle w:val="BodyText"/>
        <w:keepNext/>
        <w:widowControl/>
        <w:spacing w:after="0" w:line="480" w:lineRule="auto"/>
        <w:jc w:val="both"/>
      </w:pPr>
      <w:r w:rsidRPr="00541EC3">
        <w:t xml:space="preserve">The Premises is located wholly outside the municipal limits of Suwanee, Georgia. (Tr. 120.) Electrify America’s electric consumption at the Premises is measured by a single electric meter. (Tr. 88, 170.) The Premises is served by a 750 kVA transformer. (Tr. 133.) The transformer connects to six Signet EV Inc. power cabinets with an </w:t>
      </w:r>
      <w:r w:rsidR="00FD6FCA">
        <w:t>AC</w:t>
      </w:r>
      <w:r w:rsidR="00541EC3">
        <w:t xml:space="preserve"> </w:t>
      </w:r>
      <w:r w:rsidRPr="00541EC3">
        <w:t>input rating of 190 kW each, totaling 1,140 kW. (Tr. 169.) Each power cabinet in turn connects to</w:t>
      </w:r>
      <w:r w:rsidR="00FD6FCA">
        <w:t xml:space="preserve"> one of</w:t>
      </w:r>
      <w:r w:rsidRPr="00541EC3">
        <w:t xml:space="preserve"> the four EV chargers accessed by </w:t>
      </w:r>
      <w:r w:rsidR="00541EC3" w:rsidRPr="00541EC3">
        <w:t xml:space="preserve">Electrify America’s </w:t>
      </w:r>
      <w:r w:rsidRPr="00541EC3">
        <w:t xml:space="preserve">customers. (Tr. 170.) </w:t>
      </w:r>
      <w:r w:rsidR="00B51A45">
        <w:t>Each of the six power cabinets</w:t>
      </w:r>
      <w:r w:rsidR="00F96D07">
        <w:t>, as well as the four EV chargers, are hard wired to the Premises. (Tr. 97.)</w:t>
      </w:r>
    </w:p>
    <w:p w14:paraId="62DE2ACF" w14:textId="5C978031" w:rsidR="00FD6FCA" w:rsidRPr="00FD6FCA" w:rsidRDefault="00FD6FCA" w:rsidP="00350967">
      <w:pPr>
        <w:pStyle w:val="BodyText"/>
        <w:widowControl/>
        <w:spacing w:after="0" w:line="480" w:lineRule="auto"/>
        <w:jc w:val="both"/>
      </w:pPr>
      <w:r w:rsidRPr="00FD6FCA">
        <w:t xml:space="preserve">When an EV driver seeks to charge a vehicle at the Premises, the driver pulls up to </w:t>
      </w:r>
      <w:r w:rsidR="0089431D">
        <w:t>a</w:t>
      </w:r>
      <w:r w:rsidR="0089431D" w:rsidRPr="00FD6FCA">
        <w:t xml:space="preserve"> </w:t>
      </w:r>
      <w:r w:rsidRPr="00FD6FCA">
        <w:t xml:space="preserve">charger and connects it to the vehicle using the cord attached to the charger. (Tr. 32, 204.) Once the vehicle plugs in, rectifiers within Electrify America’s hard-wired power cabinets begin consuming the AC power to convert it to the DC power needed </w:t>
      </w:r>
      <w:r w:rsidR="00F96D07">
        <w:t xml:space="preserve">by the EV chargers </w:t>
      </w:r>
      <w:r w:rsidRPr="00FD6FCA">
        <w:t>to provide EV charging service. (Tr. 94, 202.) Without the rectifiers performing this essential conversion, Electrify America’s charging stations could not provide high</w:t>
      </w:r>
      <w:r w:rsidR="00F96D07">
        <w:t>-</w:t>
      </w:r>
      <w:r w:rsidRPr="00FD6FCA">
        <w:t>speed DC charging service to EVs. (</w:t>
      </w:r>
      <w:r w:rsidRPr="00FD6FCA">
        <w:rPr>
          <w:i/>
          <w:iCs/>
        </w:rPr>
        <w:t>See</w:t>
      </w:r>
      <w:r w:rsidRPr="00FD6FCA">
        <w:t xml:space="preserve"> Tr. 96.) </w:t>
      </w:r>
    </w:p>
    <w:p w14:paraId="045AD65F" w14:textId="6CB3F23E" w:rsidR="00264B53" w:rsidRDefault="006155C2" w:rsidP="004F45FE">
      <w:pPr>
        <w:pStyle w:val="BodyText"/>
        <w:widowControl/>
        <w:spacing w:after="0" w:line="480" w:lineRule="auto"/>
        <w:jc w:val="both"/>
      </w:pPr>
      <w:r>
        <w:t>Electrify America’s</w:t>
      </w:r>
      <w:r w:rsidRPr="00541EC3">
        <w:t xml:space="preserve"> </w:t>
      </w:r>
      <w:r w:rsidR="00264B53" w:rsidRPr="00541EC3">
        <w:t xml:space="preserve">charging array can charge up to four vehicles simultaneously. (Tr. 168.) When operating at their maximum capacity, the two 175 kW chargers and two 350 kW chargers can achieve a combined charging capacity of 1,050 kW. (Tr. 169.) The charging array is capable of dispensing over 1,000 kW of </w:t>
      </w:r>
      <w:r>
        <w:t>DC</w:t>
      </w:r>
      <w:r w:rsidR="00541EC3">
        <w:t xml:space="preserve"> </w:t>
      </w:r>
      <w:r w:rsidR="00264B53" w:rsidRPr="00541EC3">
        <w:t xml:space="preserve">power to connected electric vehicles at any given time through the four </w:t>
      </w:r>
      <w:r>
        <w:t>EV chargers</w:t>
      </w:r>
      <w:r w:rsidR="00264B53" w:rsidRPr="00541EC3">
        <w:t>. (Tr. 183.)</w:t>
      </w:r>
    </w:p>
    <w:p w14:paraId="15E3FCF9" w14:textId="4E00C4A4" w:rsidR="00105CDE" w:rsidRDefault="0053663E" w:rsidP="004F45FE">
      <w:pPr>
        <w:keepNext/>
        <w:spacing w:before="240" w:after="240"/>
        <w:ind w:left="720" w:hanging="720"/>
        <w:jc w:val="both"/>
        <w:rPr>
          <w:rFonts w:eastAsia="MS Mincho"/>
        </w:rPr>
      </w:pPr>
      <w:r w:rsidRPr="00EB4DDC">
        <w:rPr>
          <w:rFonts w:eastAsia="MS Mincho"/>
          <w:b/>
          <w:bCs/>
        </w:rPr>
        <w:lastRenderedPageBreak/>
        <w:t>I</w:t>
      </w:r>
      <w:r w:rsidR="00BC502F">
        <w:rPr>
          <w:rFonts w:eastAsia="MS Mincho"/>
          <w:b/>
          <w:bCs/>
        </w:rPr>
        <w:t>II</w:t>
      </w:r>
      <w:r w:rsidRPr="00EB4DDC">
        <w:rPr>
          <w:rFonts w:eastAsia="MS Mincho"/>
          <w:b/>
          <w:bCs/>
        </w:rPr>
        <w:t>.</w:t>
      </w:r>
      <w:r w:rsidRPr="00EB4DDC">
        <w:rPr>
          <w:rFonts w:eastAsia="MS Mincho"/>
          <w:b/>
          <w:bCs/>
        </w:rPr>
        <w:tab/>
        <w:t>THE HEARING OFFICER</w:t>
      </w:r>
      <w:r w:rsidR="006155C2">
        <w:rPr>
          <w:rFonts w:eastAsia="MS Mincho"/>
          <w:b/>
          <w:bCs/>
        </w:rPr>
        <w:t xml:space="preserve"> APPROPRIATELY </w:t>
      </w:r>
      <w:r w:rsidRPr="00EB4DDC">
        <w:rPr>
          <w:rFonts w:eastAsia="MS Mincho"/>
          <w:b/>
          <w:bCs/>
        </w:rPr>
        <w:t xml:space="preserve">RELIED ON THE FACTS PRESENTED IN </w:t>
      </w:r>
      <w:r w:rsidR="00C01947">
        <w:rPr>
          <w:rFonts w:eastAsia="MS Mincho"/>
          <w:b/>
          <w:bCs/>
        </w:rPr>
        <w:t>THE RECORD</w:t>
      </w:r>
      <w:r w:rsidRPr="00EB4DDC">
        <w:rPr>
          <w:rFonts w:eastAsia="MS Mincho"/>
          <w:b/>
          <w:bCs/>
        </w:rPr>
        <w:t xml:space="preserve"> AND PROPER LEGAL ANALYSIS</w:t>
      </w:r>
      <w:r w:rsidR="006155C2">
        <w:rPr>
          <w:rFonts w:eastAsia="MS Mincho"/>
          <w:b/>
          <w:bCs/>
        </w:rPr>
        <w:t xml:space="preserve"> AND DID NOT ERR</w:t>
      </w:r>
      <w:r w:rsidR="008E13E4">
        <w:rPr>
          <w:rFonts w:eastAsia="MS Mincho"/>
          <w:b/>
          <w:bCs/>
        </w:rPr>
        <w:t xml:space="preserve"> IN HER INITIAL DECISION</w:t>
      </w:r>
      <w:r w:rsidRPr="00EB4DDC">
        <w:rPr>
          <w:rFonts w:eastAsia="MS Mincho"/>
          <w:b/>
          <w:bCs/>
        </w:rPr>
        <w:t xml:space="preserve">. </w:t>
      </w:r>
    </w:p>
    <w:p w14:paraId="66DF8586" w14:textId="77777777" w:rsidR="00105CDE" w:rsidRPr="00105CDE" w:rsidRDefault="00105CDE" w:rsidP="004F45FE">
      <w:pPr>
        <w:keepNext/>
        <w:ind w:left="748" w:hanging="748"/>
        <w:jc w:val="both"/>
        <w:rPr>
          <w:rFonts w:eastAsia="MS Mincho"/>
        </w:rPr>
      </w:pPr>
    </w:p>
    <w:p w14:paraId="704508DB" w14:textId="0164E204" w:rsidR="0053663E" w:rsidRPr="0053663E" w:rsidRDefault="008E13E4" w:rsidP="004F45FE">
      <w:pPr>
        <w:keepNext/>
        <w:spacing w:line="480" w:lineRule="auto"/>
        <w:ind w:firstLine="720"/>
        <w:jc w:val="both"/>
        <w:rPr>
          <w:rFonts w:eastAsia="MS Mincho"/>
          <w:b/>
          <w:bCs/>
          <w:highlight w:val="yellow"/>
        </w:rPr>
      </w:pPr>
      <w:r>
        <w:rPr>
          <w:rFonts w:eastAsia="MS Mincho"/>
          <w:bCs/>
        </w:rPr>
        <w:t xml:space="preserve">Although </w:t>
      </w:r>
      <w:r w:rsidR="00C01947">
        <w:rPr>
          <w:rFonts w:eastAsia="MS Mincho"/>
          <w:bCs/>
        </w:rPr>
        <w:t>Sawnee EMC alleges numerous errors</w:t>
      </w:r>
      <w:r w:rsidR="00BC502F">
        <w:rPr>
          <w:rFonts w:eastAsia="MS Mincho"/>
          <w:bCs/>
        </w:rPr>
        <w:t xml:space="preserve"> in the</w:t>
      </w:r>
      <w:r w:rsidR="00C01947">
        <w:rPr>
          <w:rFonts w:eastAsia="MS Mincho"/>
          <w:bCs/>
        </w:rPr>
        <w:t xml:space="preserve"> Hearing Officer’s </w:t>
      </w:r>
      <w:r w:rsidR="00952DB3">
        <w:rPr>
          <w:rFonts w:eastAsia="MS Mincho"/>
          <w:bCs/>
        </w:rPr>
        <w:t>I</w:t>
      </w:r>
      <w:r w:rsidR="00C01947">
        <w:rPr>
          <w:rFonts w:eastAsia="MS Mincho"/>
          <w:bCs/>
        </w:rPr>
        <w:t xml:space="preserve">nitial </w:t>
      </w:r>
      <w:r w:rsidR="00952DB3">
        <w:rPr>
          <w:rFonts w:eastAsia="MS Mincho"/>
          <w:bCs/>
        </w:rPr>
        <w:t>D</w:t>
      </w:r>
      <w:r w:rsidR="00C01947">
        <w:rPr>
          <w:rFonts w:eastAsia="MS Mincho"/>
          <w:bCs/>
        </w:rPr>
        <w:t>ecision</w:t>
      </w:r>
      <w:r>
        <w:rPr>
          <w:rFonts w:eastAsia="MS Mincho"/>
          <w:bCs/>
        </w:rPr>
        <w:t>,</w:t>
      </w:r>
      <w:r w:rsidR="00C01947">
        <w:rPr>
          <w:rFonts w:eastAsia="MS Mincho"/>
          <w:bCs/>
        </w:rPr>
        <w:t xml:space="preserve"> </w:t>
      </w:r>
      <w:r>
        <w:rPr>
          <w:rFonts w:eastAsia="MS Mincho"/>
          <w:bCs/>
        </w:rPr>
        <w:t xml:space="preserve">it </w:t>
      </w:r>
      <w:r w:rsidR="00C01947">
        <w:rPr>
          <w:rFonts w:eastAsia="MS Mincho"/>
          <w:bCs/>
        </w:rPr>
        <w:t>provides neither factual nor</w:t>
      </w:r>
      <w:r w:rsidR="00DC58E1">
        <w:rPr>
          <w:rFonts w:eastAsia="MS Mincho"/>
          <w:bCs/>
        </w:rPr>
        <w:t xml:space="preserve"> sufficient</w:t>
      </w:r>
      <w:r w:rsidR="00C01947">
        <w:rPr>
          <w:rFonts w:eastAsia="MS Mincho"/>
          <w:bCs/>
        </w:rPr>
        <w:t xml:space="preserve"> legal support for its suppositions. Among the allegations made in the </w:t>
      </w:r>
      <w:r w:rsidR="0009045D">
        <w:rPr>
          <w:rFonts w:eastAsia="MS Mincho"/>
          <w:bCs/>
        </w:rPr>
        <w:t>A</w:t>
      </w:r>
      <w:r w:rsidR="00C01947">
        <w:rPr>
          <w:rFonts w:eastAsia="MS Mincho"/>
          <w:bCs/>
        </w:rPr>
        <w:t xml:space="preserve">pplication, Sawnee claims that the Hearing Officer failed to give proper weight to Georgia Power’s </w:t>
      </w:r>
      <w:r w:rsidR="00034BB3">
        <w:rPr>
          <w:rFonts w:eastAsia="MS Mincho"/>
          <w:bCs/>
        </w:rPr>
        <w:t xml:space="preserve">evidentiary </w:t>
      </w:r>
      <w:r w:rsidR="00C01947">
        <w:rPr>
          <w:rFonts w:eastAsia="MS Mincho"/>
          <w:bCs/>
        </w:rPr>
        <w:t>burden, misconstrued the plain words of the Territorial Act, and did not apply applicable Commission and judicial precedent. (</w:t>
      </w:r>
      <w:r w:rsidR="00C01947" w:rsidRPr="008323A4">
        <w:rPr>
          <w:rFonts w:eastAsia="MS Mincho"/>
          <w:bCs/>
          <w:i/>
          <w:iCs/>
        </w:rPr>
        <w:t>Application</w:t>
      </w:r>
      <w:r w:rsidR="00C01947">
        <w:rPr>
          <w:rFonts w:eastAsia="MS Mincho"/>
          <w:bCs/>
        </w:rPr>
        <w:t xml:space="preserve"> 2, 7.) </w:t>
      </w:r>
      <w:r>
        <w:rPr>
          <w:rFonts w:eastAsia="MS Mincho"/>
          <w:bCs/>
        </w:rPr>
        <w:t xml:space="preserve">These </w:t>
      </w:r>
      <w:r w:rsidR="0053663E" w:rsidRPr="00DC38A1">
        <w:rPr>
          <w:rFonts w:eastAsia="MS Mincho"/>
        </w:rPr>
        <w:t>assertions of error are unfounded</w:t>
      </w:r>
      <w:r w:rsidR="00480C6E">
        <w:rPr>
          <w:rFonts w:eastAsia="MS Mincho"/>
        </w:rPr>
        <w:t>,</w:t>
      </w:r>
      <w:r w:rsidR="0053663E" w:rsidRPr="00DC38A1">
        <w:rPr>
          <w:rFonts w:eastAsia="MS Mincho"/>
        </w:rPr>
        <w:t xml:space="preserve"> unsupported, </w:t>
      </w:r>
      <w:r w:rsidR="00480C6E">
        <w:rPr>
          <w:rFonts w:eastAsia="MS Mincho"/>
        </w:rPr>
        <w:t xml:space="preserve">and without merit, </w:t>
      </w:r>
      <w:r w:rsidR="0053663E" w:rsidRPr="00DC38A1">
        <w:rPr>
          <w:rFonts w:eastAsia="MS Mincho"/>
        </w:rPr>
        <w:t xml:space="preserve">as explained in </w:t>
      </w:r>
      <w:r w:rsidR="00C10196">
        <w:rPr>
          <w:rFonts w:eastAsia="MS Mincho"/>
        </w:rPr>
        <w:t>greater</w:t>
      </w:r>
      <w:r w:rsidR="0053663E" w:rsidRPr="00DC38A1">
        <w:rPr>
          <w:rFonts w:eastAsia="MS Mincho"/>
        </w:rPr>
        <w:t xml:space="preserve"> detail </w:t>
      </w:r>
      <w:r w:rsidR="00C10196">
        <w:rPr>
          <w:rFonts w:eastAsia="MS Mincho"/>
        </w:rPr>
        <w:t>below</w:t>
      </w:r>
      <w:r w:rsidR="0053663E" w:rsidRPr="00DC38A1">
        <w:rPr>
          <w:rFonts w:eastAsia="MS Mincho"/>
        </w:rPr>
        <w:t>.</w:t>
      </w:r>
    </w:p>
    <w:p w14:paraId="30FDD43E" w14:textId="427B3EC3" w:rsidR="00B11905" w:rsidRDefault="0053663E" w:rsidP="00B90636">
      <w:pPr>
        <w:spacing w:before="240" w:after="240"/>
        <w:ind w:left="1498" w:hanging="749"/>
        <w:jc w:val="both"/>
        <w:rPr>
          <w:rFonts w:eastAsia="MS Mincho"/>
          <w:b/>
          <w:highlight w:val="yellow"/>
        </w:rPr>
      </w:pPr>
      <w:r w:rsidRPr="00561C13">
        <w:rPr>
          <w:rFonts w:eastAsia="MS Mincho"/>
          <w:b/>
        </w:rPr>
        <w:t>A.</w:t>
      </w:r>
      <w:r w:rsidR="00DC58E1">
        <w:rPr>
          <w:rFonts w:eastAsia="MS Mincho"/>
          <w:b/>
        </w:rPr>
        <w:t xml:space="preserve"> </w:t>
      </w:r>
      <w:r w:rsidRPr="00561C13">
        <w:rPr>
          <w:rFonts w:eastAsia="MS Mincho"/>
          <w:b/>
        </w:rPr>
        <w:tab/>
      </w:r>
      <w:r w:rsidRPr="00A70AC6">
        <w:rPr>
          <w:rFonts w:eastAsia="MS Mincho"/>
          <w:b/>
        </w:rPr>
        <w:t>The Hearing Officer</w:t>
      </w:r>
      <w:r w:rsidRPr="00561C13">
        <w:rPr>
          <w:rFonts w:eastAsia="MS Mincho"/>
          <w:b/>
        </w:rPr>
        <w:t xml:space="preserve"> </w:t>
      </w:r>
      <w:r w:rsidR="008E13E4">
        <w:rPr>
          <w:rFonts w:eastAsia="MS Mincho"/>
          <w:b/>
        </w:rPr>
        <w:t>did not err</w:t>
      </w:r>
      <w:r w:rsidR="00B11905" w:rsidRPr="00561C13">
        <w:rPr>
          <w:rFonts w:eastAsia="MS Mincho"/>
          <w:b/>
        </w:rPr>
        <w:t xml:space="preserve"> in </w:t>
      </w:r>
      <w:r w:rsidR="00DC58E1">
        <w:rPr>
          <w:rFonts w:eastAsia="MS Mincho"/>
          <w:b/>
        </w:rPr>
        <w:t>determining</w:t>
      </w:r>
      <w:r w:rsidR="00C01947">
        <w:rPr>
          <w:rFonts w:eastAsia="MS Mincho"/>
          <w:b/>
        </w:rPr>
        <w:t xml:space="preserve"> that Georgia Power satisfied its burden of proof.</w:t>
      </w:r>
      <w:r w:rsidR="00B11905" w:rsidRPr="0026414C">
        <w:rPr>
          <w:rFonts w:eastAsia="MS Mincho"/>
          <w:b/>
        </w:rPr>
        <w:tab/>
      </w:r>
    </w:p>
    <w:p w14:paraId="13856A19" w14:textId="60F6583A" w:rsidR="00AE1BA1" w:rsidRDefault="00AE1BA1" w:rsidP="004F45FE">
      <w:pPr>
        <w:ind w:left="1496" w:hanging="748"/>
        <w:jc w:val="both"/>
        <w:rPr>
          <w:rFonts w:eastAsia="MS Mincho"/>
          <w:b/>
          <w:highlight w:val="yellow"/>
        </w:rPr>
      </w:pPr>
    </w:p>
    <w:p w14:paraId="5D5FB5F1" w14:textId="18E6AF70" w:rsidR="001B5CE6" w:rsidRDefault="004059D9" w:rsidP="004F45FE">
      <w:pPr>
        <w:spacing w:line="480" w:lineRule="auto"/>
        <w:ind w:firstLine="720"/>
        <w:jc w:val="both"/>
        <w:rPr>
          <w:rFonts w:eastAsia="MS Mincho"/>
          <w:bCs/>
        </w:rPr>
      </w:pPr>
      <w:r w:rsidRPr="00152EB5">
        <w:rPr>
          <w:rFonts w:eastAsia="MS Mincho"/>
          <w:bCs/>
        </w:rPr>
        <w:t xml:space="preserve">Sawnee contends, </w:t>
      </w:r>
      <w:r w:rsidRPr="00C01947">
        <w:rPr>
          <w:rFonts w:eastAsia="MS Mincho"/>
          <w:bCs/>
        </w:rPr>
        <w:t xml:space="preserve">without </w:t>
      </w:r>
      <w:r w:rsidR="00E51C8B" w:rsidRPr="00C01947">
        <w:rPr>
          <w:rFonts w:eastAsia="MS Mincho"/>
          <w:bCs/>
        </w:rPr>
        <w:t>support</w:t>
      </w:r>
      <w:r w:rsidRPr="00152EB5">
        <w:rPr>
          <w:rFonts w:eastAsia="MS Mincho"/>
          <w:bCs/>
        </w:rPr>
        <w:t xml:space="preserve">, that </w:t>
      </w:r>
      <w:r w:rsidR="00152EB5">
        <w:rPr>
          <w:rFonts w:eastAsia="MS Mincho"/>
          <w:bCs/>
        </w:rPr>
        <w:t xml:space="preserve">“[t]he </w:t>
      </w:r>
      <w:r w:rsidR="00952DB3">
        <w:rPr>
          <w:rFonts w:eastAsia="MS Mincho"/>
          <w:bCs/>
        </w:rPr>
        <w:t xml:space="preserve">Hearing </w:t>
      </w:r>
      <w:r w:rsidR="00152EB5">
        <w:rPr>
          <w:rFonts w:eastAsia="MS Mincho"/>
          <w:bCs/>
        </w:rPr>
        <w:t>Official failed to give the proper weight to Georgia Power’s heavy burden and to resolve all doubts in favor of the general statutory rule, as Georgia law requires.” (</w:t>
      </w:r>
      <w:r w:rsidR="00152EB5" w:rsidRPr="008323A4">
        <w:rPr>
          <w:rFonts w:eastAsia="MS Mincho"/>
          <w:bCs/>
          <w:i/>
          <w:iCs/>
        </w:rPr>
        <w:t>Application</w:t>
      </w:r>
      <w:r w:rsidR="00152EB5">
        <w:rPr>
          <w:rFonts w:eastAsia="MS Mincho"/>
          <w:bCs/>
        </w:rPr>
        <w:t xml:space="preserve"> 7</w:t>
      </w:r>
      <w:r w:rsidR="008323A4">
        <w:rPr>
          <w:rFonts w:eastAsia="MS Mincho"/>
          <w:bCs/>
        </w:rPr>
        <w:t>.</w:t>
      </w:r>
      <w:r w:rsidR="00152EB5">
        <w:rPr>
          <w:rFonts w:eastAsia="MS Mincho"/>
          <w:bCs/>
        </w:rPr>
        <w:t>)</w:t>
      </w:r>
      <w:r w:rsidR="008323A4">
        <w:rPr>
          <w:rFonts w:eastAsia="MS Mincho"/>
          <w:bCs/>
        </w:rPr>
        <w:t xml:space="preserve"> </w:t>
      </w:r>
      <w:r w:rsidR="001B5CE6">
        <w:rPr>
          <w:rFonts w:eastAsia="MS Mincho"/>
          <w:bCs/>
        </w:rPr>
        <w:t xml:space="preserve">While Georgia Power </w:t>
      </w:r>
      <w:r w:rsidR="00A70AC6">
        <w:rPr>
          <w:rFonts w:eastAsia="MS Mincho"/>
          <w:bCs/>
        </w:rPr>
        <w:t xml:space="preserve">acknowledges </w:t>
      </w:r>
      <w:r w:rsidR="001B5CE6">
        <w:rPr>
          <w:rFonts w:eastAsia="MS Mincho"/>
          <w:bCs/>
        </w:rPr>
        <w:t>that the law requires a strict construction of the</w:t>
      </w:r>
      <w:r w:rsidR="00DC58E1">
        <w:rPr>
          <w:rFonts w:eastAsia="MS Mincho"/>
          <w:bCs/>
        </w:rPr>
        <w:t xml:space="preserve"> Territorial Act’s large load </w:t>
      </w:r>
      <w:r w:rsidR="001B5CE6">
        <w:rPr>
          <w:rFonts w:eastAsia="MS Mincho"/>
          <w:bCs/>
        </w:rPr>
        <w:t xml:space="preserve">exception, Sawnee </w:t>
      </w:r>
      <w:r w:rsidR="00AA0D90">
        <w:rPr>
          <w:rFonts w:eastAsia="MS Mincho"/>
          <w:bCs/>
        </w:rPr>
        <w:t>contort</w:t>
      </w:r>
      <w:r w:rsidR="006B4BEC">
        <w:rPr>
          <w:rFonts w:eastAsia="MS Mincho"/>
          <w:bCs/>
        </w:rPr>
        <w:t>s</w:t>
      </w:r>
      <w:r w:rsidR="00AA0D90">
        <w:rPr>
          <w:rFonts w:eastAsia="MS Mincho"/>
          <w:bCs/>
        </w:rPr>
        <w:t xml:space="preserve"> the principal of strict construction </w:t>
      </w:r>
      <w:r w:rsidR="00A01DAD">
        <w:rPr>
          <w:rFonts w:eastAsia="MS Mincho"/>
        </w:rPr>
        <w:t>such that it could have no practical application and would be nearly impossible to apply</w:t>
      </w:r>
      <w:r w:rsidR="001B5CE6">
        <w:rPr>
          <w:rFonts w:eastAsia="MS Mincho"/>
          <w:bCs/>
        </w:rPr>
        <w:t>.</w:t>
      </w:r>
      <w:r w:rsidR="00350967">
        <w:rPr>
          <w:rFonts w:eastAsia="MS Mincho"/>
          <w:bCs/>
        </w:rPr>
        <w:t xml:space="preserve"> </w:t>
      </w:r>
      <w:r w:rsidR="00480C6E">
        <w:rPr>
          <w:rFonts w:eastAsia="MS Mincho"/>
          <w:bCs/>
        </w:rPr>
        <w:t>T</w:t>
      </w:r>
      <w:r w:rsidR="001B5CE6">
        <w:rPr>
          <w:rFonts w:eastAsia="MS Mincho"/>
          <w:bCs/>
        </w:rPr>
        <w:t>his matter raises a question of first impression,</w:t>
      </w:r>
      <w:r w:rsidR="00350967">
        <w:rPr>
          <w:rFonts w:eastAsia="MS Mincho"/>
          <w:bCs/>
        </w:rPr>
        <w:t xml:space="preserve"> since the large load exception has never been applied to an EV charging station</w:t>
      </w:r>
      <w:r w:rsidR="00480C6E" w:rsidRPr="00BC2CA8">
        <w:rPr>
          <w:rFonts w:eastAsia="MS Mincho"/>
          <w:bCs/>
        </w:rPr>
        <w:t xml:space="preserve">. </w:t>
      </w:r>
      <w:r w:rsidR="000817C3">
        <w:rPr>
          <w:rFonts w:eastAsia="MS Mincho"/>
          <w:bCs/>
        </w:rPr>
        <w:t xml:space="preserve">However, </w:t>
      </w:r>
      <w:r w:rsidR="001B5CE6" w:rsidRPr="00BC2CA8">
        <w:rPr>
          <w:rFonts w:eastAsia="MS Mincho"/>
          <w:bCs/>
        </w:rPr>
        <w:t xml:space="preserve">Sawnee </w:t>
      </w:r>
      <w:r w:rsidR="0089431D" w:rsidRPr="00BC2CA8">
        <w:rPr>
          <w:rFonts w:eastAsia="MS Mincho"/>
          <w:bCs/>
        </w:rPr>
        <w:t xml:space="preserve">attempts </w:t>
      </w:r>
      <w:r w:rsidR="008634B8" w:rsidRPr="00BC2CA8">
        <w:rPr>
          <w:rFonts w:eastAsia="MS Mincho"/>
          <w:bCs/>
        </w:rPr>
        <w:t xml:space="preserve">to take advantage of the novelty of the situation by contending that </w:t>
      </w:r>
      <w:r w:rsidR="006B4C4E" w:rsidRPr="00BC2CA8">
        <w:rPr>
          <w:rFonts w:eastAsia="MS Mincho"/>
          <w:bCs/>
        </w:rPr>
        <w:t xml:space="preserve">a question’s </w:t>
      </w:r>
      <w:r w:rsidR="00B90636" w:rsidRPr="00BC2CA8">
        <w:rPr>
          <w:rFonts w:eastAsia="MS Mincho"/>
          <w:bCs/>
        </w:rPr>
        <w:t>newness</w:t>
      </w:r>
      <w:r w:rsidR="006B4C4E" w:rsidRPr="00BC2CA8">
        <w:rPr>
          <w:rFonts w:eastAsia="MS Mincho"/>
          <w:bCs/>
        </w:rPr>
        <w:t xml:space="preserve"> </w:t>
      </w:r>
      <w:r w:rsidR="00CA33AF" w:rsidRPr="00BC2CA8">
        <w:rPr>
          <w:rFonts w:eastAsia="MS Mincho"/>
          <w:bCs/>
        </w:rPr>
        <w:t xml:space="preserve">somehow </w:t>
      </w:r>
      <w:r w:rsidR="00833B7A" w:rsidRPr="00BC2CA8">
        <w:rPr>
          <w:rFonts w:eastAsia="MS Mincho"/>
          <w:bCs/>
        </w:rPr>
        <w:t>means that “str</w:t>
      </w:r>
      <w:r w:rsidR="00B90636" w:rsidRPr="00BC2CA8">
        <w:rPr>
          <w:rFonts w:eastAsia="MS Mincho"/>
          <w:bCs/>
        </w:rPr>
        <w:t>i</w:t>
      </w:r>
      <w:r w:rsidR="00833B7A" w:rsidRPr="00BC2CA8">
        <w:rPr>
          <w:rFonts w:eastAsia="MS Mincho"/>
          <w:bCs/>
        </w:rPr>
        <w:t xml:space="preserve">ct construction” </w:t>
      </w:r>
      <w:r w:rsidR="00CA33AF" w:rsidRPr="00BC2CA8">
        <w:rPr>
          <w:rFonts w:eastAsia="MS Mincho"/>
          <w:bCs/>
        </w:rPr>
        <w:t xml:space="preserve">automatically </w:t>
      </w:r>
      <w:r w:rsidR="001B5CE6" w:rsidRPr="00BC2CA8">
        <w:rPr>
          <w:rFonts w:eastAsia="MS Mincho"/>
          <w:bCs/>
        </w:rPr>
        <w:t xml:space="preserve">requires resolution </w:t>
      </w:r>
      <w:r w:rsidR="006B4C4E" w:rsidRPr="00BC2CA8">
        <w:rPr>
          <w:rFonts w:eastAsia="MS Mincho"/>
          <w:bCs/>
        </w:rPr>
        <w:t xml:space="preserve">of the question </w:t>
      </w:r>
      <w:r w:rsidR="001B5CE6" w:rsidRPr="00BC2CA8">
        <w:rPr>
          <w:rFonts w:eastAsia="MS Mincho"/>
          <w:bCs/>
        </w:rPr>
        <w:t xml:space="preserve">in </w:t>
      </w:r>
      <w:r w:rsidR="00AA0D90" w:rsidRPr="00BC2CA8">
        <w:rPr>
          <w:rFonts w:eastAsia="MS Mincho"/>
          <w:bCs/>
        </w:rPr>
        <w:t xml:space="preserve">Sawnee’s </w:t>
      </w:r>
      <w:r w:rsidR="001B5CE6" w:rsidRPr="00BC2CA8">
        <w:rPr>
          <w:rFonts w:eastAsia="MS Mincho"/>
          <w:bCs/>
        </w:rPr>
        <w:t>favor. (</w:t>
      </w:r>
      <w:r w:rsidR="001B5CE6" w:rsidRPr="00BC2CA8">
        <w:rPr>
          <w:rFonts w:eastAsia="MS Mincho"/>
          <w:bCs/>
          <w:i/>
          <w:iCs/>
        </w:rPr>
        <w:t>Application</w:t>
      </w:r>
      <w:r w:rsidR="001B5CE6" w:rsidRPr="00BC2CA8">
        <w:rPr>
          <w:rFonts w:eastAsia="MS Mincho"/>
          <w:bCs/>
        </w:rPr>
        <w:t xml:space="preserve"> 7.)</w:t>
      </w:r>
      <w:r w:rsidR="00DC58E1" w:rsidRPr="00BC2CA8">
        <w:rPr>
          <w:rFonts w:eastAsia="MS Mincho"/>
          <w:bCs/>
        </w:rPr>
        <w:t xml:space="preserve"> </w:t>
      </w:r>
      <w:r w:rsidR="001B5CE6" w:rsidRPr="00BC2CA8">
        <w:rPr>
          <w:rFonts w:eastAsia="MS Mincho"/>
          <w:bCs/>
        </w:rPr>
        <w:t>Such an extreme</w:t>
      </w:r>
      <w:r w:rsidR="00833B7A" w:rsidRPr="00BC2CA8">
        <w:rPr>
          <w:rFonts w:eastAsia="MS Mincho"/>
          <w:bCs/>
        </w:rPr>
        <w:t xml:space="preserve"> and flawed</w:t>
      </w:r>
      <w:r w:rsidR="001B5CE6" w:rsidRPr="00BC2CA8">
        <w:rPr>
          <w:rFonts w:eastAsia="MS Mincho"/>
          <w:bCs/>
        </w:rPr>
        <w:t xml:space="preserve"> interpretation of the law would functionally </w:t>
      </w:r>
      <w:r w:rsidR="006B4C4E" w:rsidRPr="00BC2CA8">
        <w:rPr>
          <w:rFonts w:eastAsia="MS Mincho"/>
          <w:bCs/>
        </w:rPr>
        <w:t xml:space="preserve">prohibit </w:t>
      </w:r>
      <w:r w:rsidR="001B5CE6" w:rsidRPr="00BC2CA8">
        <w:rPr>
          <w:rFonts w:eastAsia="MS Mincho"/>
          <w:bCs/>
        </w:rPr>
        <w:t xml:space="preserve">any </w:t>
      </w:r>
      <w:r w:rsidR="00CA33AF" w:rsidRPr="00BC2CA8">
        <w:rPr>
          <w:rFonts w:eastAsia="MS Mincho"/>
          <w:bCs/>
        </w:rPr>
        <w:t xml:space="preserve">new applications of existing </w:t>
      </w:r>
      <w:r w:rsidR="001B5CE6" w:rsidRPr="00BC2CA8">
        <w:rPr>
          <w:rFonts w:eastAsia="MS Mincho"/>
          <w:bCs/>
        </w:rPr>
        <w:t>statutory exception</w:t>
      </w:r>
      <w:r w:rsidR="00CA33AF" w:rsidRPr="00BC2CA8">
        <w:rPr>
          <w:rFonts w:eastAsia="MS Mincho"/>
          <w:bCs/>
        </w:rPr>
        <w:t>s</w:t>
      </w:r>
      <w:r w:rsidR="00B32DC7" w:rsidRPr="00BC2CA8">
        <w:rPr>
          <w:rFonts w:eastAsia="MS Mincho"/>
          <w:bCs/>
        </w:rPr>
        <w:t>.</w:t>
      </w:r>
    </w:p>
    <w:p w14:paraId="68790E44" w14:textId="287DB2D4" w:rsidR="009A5675" w:rsidRDefault="005C360D" w:rsidP="004F45FE">
      <w:pPr>
        <w:spacing w:line="480" w:lineRule="auto"/>
        <w:ind w:firstLine="720"/>
        <w:jc w:val="both"/>
        <w:rPr>
          <w:rFonts w:eastAsia="MS Mincho"/>
          <w:bCs/>
        </w:rPr>
      </w:pPr>
      <w:r>
        <w:rPr>
          <w:rFonts w:eastAsia="MS Mincho"/>
          <w:bCs/>
        </w:rPr>
        <w:lastRenderedPageBreak/>
        <w:t xml:space="preserve">Sawnee ignores the fact that the Hearing Officer thoroughly </w:t>
      </w:r>
      <w:r w:rsidR="00034BB3">
        <w:rPr>
          <w:rFonts w:eastAsia="MS Mincho"/>
          <w:bCs/>
        </w:rPr>
        <w:t>a</w:t>
      </w:r>
      <w:r w:rsidR="006B4BEC">
        <w:rPr>
          <w:rFonts w:eastAsia="MS Mincho"/>
          <w:bCs/>
        </w:rPr>
        <w:t>ddresses</w:t>
      </w:r>
      <w:r w:rsidR="00034BB3">
        <w:rPr>
          <w:rFonts w:eastAsia="MS Mincho"/>
          <w:bCs/>
        </w:rPr>
        <w:t xml:space="preserve"> </w:t>
      </w:r>
      <w:r>
        <w:rPr>
          <w:rFonts w:eastAsia="MS Mincho"/>
          <w:bCs/>
        </w:rPr>
        <w:t xml:space="preserve">the fact that this question is one of first impression under the Territorial Act. </w:t>
      </w:r>
      <w:r w:rsidR="00223CBD">
        <w:rPr>
          <w:rFonts w:eastAsia="MS Mincho"/>
          <w:bCs/>
        </w:rPr>
        <w:t xml:space="preserve">Analyzing the </w:t>
      </w:r>
      <w:r w:rsidR="00DC58E1">
        <w:rPr>
          <w:rFonts w:eastAsia="MS Mincho"/>
          <w:bCs/>
        </w:rPr>
        <w:t xml:space="preserve">Territorial Act, </w:t>
      </w:r>
      <w:r w:rsidR="00223CBD">
        <w:rPr>
          <w:rFonts w:eastAsia="MS Mincho"/>
          <w:bCs/>
        </w:rPr>
        <w:t>alongside Commission and judicial precedent, t</w:t>
      </w:r>
      <w:r w:rsidR="009757C3">
        <w:rPr>
          <w:rFonts w:eastAsia="MS Mincho"/>
          <w:bCs/>
        </w:rPr>
        <w:t xml:space="preserve">he </w:t>
      </w:r>
      <w:r w:rsidR="006B4BEC">
        <w:rPr>
          <w:rFonts w:eastAsia="MS Mincho"/>
          <w:bCs/>
        </w:rPr>
        <w:t xml:space="preserve">Hearing Officer’s </w:t>
      </w:r>
      <w:r w:rsidR="00034BB3">
        <w:rPr>
          <w:rFonts w:eastAsia="MS Mincho"/>
          <w:bCs/>
        </w:rPr>
        <w:t xml:space="preserve">Initial Decision </w:t>
      </w:r>
      <w:r w:rsidR="009757C3">
        <w:rPr>
          <w:rFonts w:eastAsia="MS Mincho"/>
          <w:bCs/>
        </w:rPr>
        <w:t>unequivocally establishes that Georgia Power bears the burden</w:t>
      </w:r>
      <w:r w:rsidR="006B4BEC">
        <w:rPr>
          <w:rFonts w:eastAsia="MS Mincho"/>
          <w:bCs/>
        </w:rPr>
        <w:t xml:space="preserve"> of proof</w:t>
      </w:r>
      <w:r w:rsidR="009757C3">
        <w:rPr>
          <w:rFonts w:eastAsia="MS Mincho"/>
          <w:bCs/>
        </w:rPr>
        <w:t xml:space="preserve"> under Georgia law and that the </w:t>
      </w:r>
      <w:r w:rsidR="00DC58E1">
        <w:rPr>
          <w:rFonts w:eastAsia="MS Mincho"/>
          <w:bCs/>
        </w:rPr>
        <w:t xml:space="preserve">large load </w:t>
      </w:r>
      <w:r w:rsidR="009757C3">
        <w:rPr>
          <w:rFonts w:eastAsia="MS Mincho"/>
          <w:bCs/>
        </w:rPr>
        <w:t>exception requires strict construction. (</w:t>
      </w:r>
      <w:r w:rsidR="009757C3" w:rsidRPr="00223CBD">
        <w:rPr>
          <w:rFonts w:eastAsia="MS Mincho"/>
          <w:bCs/>
          <w:i/>
          <w:iCs/>
        </w:rPr>
        <w:t>Initial Decision</w:t>
      </w:r>
      <w:r w:rsidR="009757C3">
        <w:rPr>
          <w:rFonts w:eastAsia="MS Mincho"/>
          <w:bCs/>
        </w:rPr>
        <w:t xml:space="preserve"> 9.)</w:t>
      </w:r>
      <w:r w:rsidR="00223CBD">
        <w:rPr>
          <w:rFonts w:eastAsia="MS Mincho"/>
          <w:bCs/>
        </w:rPr>
        <w:t xml:space="preserve"> </w:t>
      </w:r>
      <w:r w:rsidR="009A5675">
        <w:rPr>
          <w:rFonts w:eastAsia="MS Mincho"/>
          <w:bCs/>
        </w:rPr>
        <w:t>More specifically, the Hearing Officer stated:</w:t>
      </w:r>
    </w:p>
    <w:p w14:paraId="44369BFA" w14:textId="0AB7176B" w:rsidR="009A5675" w:rsidRDefault="009A5675" w:rsidP="009A5675">
      <w:pPr>
        <w:ind w:left="720" w:right="720"/>
        <w:jc w:val="both"/>
        <w:rPr>
          <w:rFonts w:eastAsia="MS Mincho"/>
          <w:bCs/>
        </w:rPr>
      </w:pPr>
      <w:r>
        <w:rPr>
          <w:rFonts w:eastAsia="MS Mincho"/>
          <w:bCs/>
        </w:rPr>
        <w:t xml:space="preserve">Georgia Power seeks the benefit of the statutory exception and therefore bears the burden of proving that each of the requirements of the large load customer choice exception have been met. The Georgia Court of Appeals has held that the large load customer choice provision, being the exception to the general rule of competitive restriction provided for in the Territorial Act, must be strictly construed. </w:t>
      </w:r>
    </w:p>
    <w:p w14:paraId="3C3AC2A9" w14:textId="5646A812" w:rsidR="009A5675" w:rsidRDefault="009A5675" w:rsidP="009A5675">
      <w:pPr>
        <w:spacing w:line="480" w:lineRule="auto"/>
        <w:jc w:val="both"/>
        <w:rPr>
          <w:rFonts w:eastAsia="MS Mincho"/>
          <w:bCs/>
        </w:rPr>
      </w:pPr>
    </w:p>
    <w:p w14:paraId="5A413E6B" w14:textId="79422F13" w:rsidR="0053663E" w:rsidRPr="009A5675" w:rsidRDefault="009A5675" w:rsidP="009A5675">
      <w:pPr>
        <w:spacing w:line="480" w:lineRule="auto"/>
        <w:jc w:val="both"/>
        <w:rPr>
          <w:rFonts w:eastAsia="MS Mincho"/>
          <w:b/>
          <w:highlight w:val="yellow"/>
        </w:rPr>
      </w:pPr>
      <w:r>
        <w:rPr>
          <w:rFonts w:eastAsia="MS Mincho"/>
          <w:bCs/>
        </w:rPr>
        <w:t xml:space="preserve">(Id.) </w:t>
      </w:r>
      <w:r w:rsidR="00223CBD">
        <w:rPr>
          <w:rFonts w:eastAsia="MS Mincho"/>
          <w:bCs/>
        </w:rPr>
        <w:t>T</w:t>
      </w:r>
      <w:r w:rsidR="00682A21">
        <w:rPr>
          <w:rFonts w:eastAsia="MS Mincho"/>
          <w:bCs/>
        </w:rPr>
        <w:t xml:space="preserve">he Hearing Officer </w:t>
      </w:r>
      <w:r w:rsidR="00570E75">
        <w:rPr>
          <w:rFonts w:eastAsia="MS Mincho"/>
          <w:bCs/>
        </w:rPr>
        <w:t xml:space="preserve">then </w:t>
      </w:r>
      <w:r w:rsidR="00682A21">
        <w:rPr>
          <w:rFonts w:eastAsia="MS Mincho"/>
          <w:bCs/>
        </w:rPr>
        <w:t xml:space="preserve">proceeds to lay out the express terms of the statute, </w:t>
      </w:r>
      <w:r w:rsidR="00C01947">
        <w:rPr>
          <w:rFonts w:eastAsia="MS Mincho"/>
          <w:bCs/>
        </w:rPr>
        <w:t>emphasizing the specific elements at issue</w:t>
      </w:r>
      <w:r w:rsidR="00833B7A">
        <w:rPr>
          <w:rFonts w:eastAsia="MS Mincho"/>
          <w:bCs/>
        </w:rPr>
        <w:t>,</w:t>
      </w:r>
      <w:r w:rsidR="00C01947">
        <w:rPr>
          <w:rFonts w:eastAsia="MS Mincho"/>
          <w:bCs/>
        </w:rPr>
        <w:t xml:space="preserve"> before </w:t>
      </w:r>
      <w:r w:rsidR="00223CBD">
        <w:rPr>
          <w:rFonts w:eastAsia="MS Mincho"/>
          <w:bCs/>
        </w:rPr>
        <w:t>analyzing them in greater depth.</w:t>
      </w:r>
      <w:r>
        <w:rPr>
          <w:rFonts w:eastAsia="MS Mincho"/>
          <w:b/>
        </w:rPr>
        <w:t xml:space="preserve"> </w:t>
      </w:r>
      <w:r>
        <w:rPr>
          <w:rFonts w:eastAsia="MS Mincho"/>
          <w:bCs/>
        </w:rPr>
        <w:t>T</w:t>
      </w:r>
      <w:r w:rsidR="00C67DB3" w:rsidRPr="00C67DB3">
        <w:rPr>
          <w:rFonts w:eastAsia="MS Mincho"/>
          <w:bCs/>
        </w:rPr>
        <w:t xml:space="preserve">he </w:t>
      </w:r>
      <w:r w:rsidR="00034BB3">
        <w:rPr>
          <w:rFonts w:eastAsia="MS Mincho"/>
          <w:bCs/>
        </w:rPr>
        <w:t>Hearing Officer</w:t>
      </w:r>
      <w:r w:rsidR="00C67DB3" w:rsidRPr="00C67DB3">
        <w:rPr>
          <w:rFonts w:eastAsia="MS Mincho"/>
          <w:bCs/>
        </w:rPr>
        <w:t xml:space="preserve"> provides a thorough analysis of </w:t>
      </w:r>
      <w:r>
        <w:rPr>
          <w:rFonts w:eastAsia="MS Mincho"/>
          <w:bCs/>
        </w:rPr>
        <w:t xml:space="preserve">the applicable </w:t>
      </w:r>
      <w:r w:rsidR="00C67DB3" w:rsidRPr="00C67DB3">
        <w:rPr>
          <w:rFonts w:eastAsia="MS Mincho"/>
          <w:bCs/>
        </w:rPr>
        <w:t xml:space="preserve">Commission and judicial precedent in reaching </w:t>
      </w:r>
      <w:r w:rsidR="00034BB3">
        <w:rPr>
          <w:rFonts w:eastAsia="MS Mincho"/>
          <w:bCs/>
        </w:rPr>
        <w:t>her Initial Decision</w:t>
      </w:r>
      <w:r w:rsidR="00C67DB3" w:rsidRPr="00C67DB3">
        <w:rPr>
          <w:rFonts w:eastAsia="MS Mincho"/>
          <w:bCs/>
        </w:rPr>
        <w:t xml:space="preserve">. </w:t>
      </w:r>
      <w:r w:rsidR="00C67DB3">
        <w:rPr>
          <w:rFonts w:eastAsia="MS Mincho"/>
          <w:bCs/>
        </w:rPr>
        <w:t xml:space="preserve">Notably, </w:t>
      </w:r>
      <w:r w:rsidR="004C292F">
        <w:rPr>
          <w:rFonts w:eastAsia="MS Mincho"/>
          <w:bCs/>
        </w:rPr>
        <w:t>the bulk of Sawnee EMC’s post-hearing brief</w:t>
      </w:r>
      <w:r w:rsidR="000F22FF">
        <w:rPr>
          <w:rFonts w:eastAsia="MS Mincho"/>
          <w:bCs/>
        </w:rPr>
        <w:t xml:space="preserve"> consists of distortions of the holdings</w:t>
      </w:r>
      <w:r w:rsidR="00DC58E1">
        <w:rPr>
          <w:rFonts w:eastAsia="MS Mincho"/>
          <w:bCs/>
        </w:rPr>
        <w:t xml:space="preserve"> </w:t>
      </w:r>
      <w:r w:rsidR="000F22FF">
        <w:rPr>
          <w:rFonts w:eastAsia="MS Mincho"/>
          <w:bCs/>
        </w:rPr>
        <w:t>of three</w:t>
      </w:r>
      <w:r w:rsidR="00DC58E1">
        <w:rPr>
          <w:rFonts w:eastAsia="MS Mincho"/>
          <w:bCs/>
        </w:rPr>
        <w:t xml:space="preserve"> </w:t>
      </w:r>
      <w:r w:rsidR="000F22FF">
        <w:rPr>
          <w:rFonts w:eastAsia="MS Mincho"/>
          <w:bCs/>
        </w:rPr>
        <w:t>precedents</w:t>
      </w:r>
      <w:r w:rsidR="004C292F">
        <w:rPr>
          <w:rFonts w:eastAsia="MS Mincho"/>
          <w:bCs/>
        </w:rPr>
        <w:t xml:space="preserve">: </w:t>
      </w:r>
      <w:r w:rsidR="00EF2340" w:rsidRPr="00892DE5">
        <w:rPr>
          <w:rFonts w:eastAsia="MS Mincho"/>
          <w:bCs/>
          <w:i/>
          <w:iCs/>
        </w:rPr>
        <w:t>Georgia Power Co. v. Sumter EMC</w:t>
      </w:r>
      <w:r w:rsidR="005C360D">
        <w:rPr>
          <w:rFonts w:eastAsia="MS Mincho"/>
          <w:bCs/>
        </w:rPr>
        <w:t xml:space="preserve">; </w:t>
      </w:r>
      <w:r w:rsidR="00EF2340" w:rsidRPr="00892DE5">
        <w:rPr>
          <w:rFonts w:eastAsia="MS Mincho"/>
          <w:bCs/>
          <w:i/>
          <w:iCs/>
        </w:rPr>
        <w:t>Troup EMC v. Georgia Power Co</w:t>
      </w:r>
      <w:r w:rsidR="005C360D" w:rsidRPr="00892DE5">
        <w:rPr>
          <w:rFonts w:eastAsia="MS Mincho"/>
          <w:bCs/>
          <w:i/>
          <w:iCs/>
        </w:rPr>
        <w:t>.</w:t>
      </w:r>
      <w:r w:rsidR="005C360D">
        <w:rPr>
          <w:rFonts w:eastAsia="MS Mincho"/>
          <w:bCs/>
        </w:rPr>
        <w:t xml:space="preserve">; </w:t>
      </w:r>
      <w:r w:rsidR="00EF2340">
        <w:rPr>
          <w:rFonts w:eastAsia="MS Mincho"/>
          <w:bCs/>
        </w:rPr>
        <w:t xml:space="preserve">and </w:t>
      </w:r>
      <w:r w:rsidR="00EF2340" w:rsidRPr="00892DE5">
        <w:rPr>
          <w:rFonts w:eastAsia="MS Mincho"/>
          <w:bCs/>
          <w:i/>
          <w:iCs/>
        </w:rPr>
        <w:t>Sawnee EMC v. Ga. Public Service Commission</w:t>
      </w:r>
      <w:r w:rsidR="000F22FF">
        <w:rPr>
          <w:rFonts w:eastAsia="MS Mincho"/>
          <w:bCs/>
        </w:rPr>
        <w:t>, each of which is appropriately addressed and applied by the Initial Decision in order to give effect to the plain meaning of the statute.</w:t>
      </w:r>
      <w:r w:rsidR="00EF2340">
        <w:rPr>
          <w:rFonts w:eastAsia="MS Mincho"/>
          <w:bCs/>
        </w:rPr>
        <w:t xml:space="preserve"> </w:t>
      </w:r>
      <w:r>
        <w:rPr>
          <w:rFonts w:eastAsia="MS Mincho"/>
          <w:bCs/>
        </w:rPr>
        <w:t>Ultimately, the Hearing Officer appropriately weighed the evidence and case law before her according to the strict construction requirements and correctly ruled in Georgia Power’s favor.</w:t>
      </w:r>
    </w:p>
    <w:p w14:paraId="0C0053F3" w14:textId="53539160" w:rsidR="0053663E" w:rsidRPr="00561C13" w:rsidRDefault="0053663E" w:rsidP="00B13F43">
      <w:pPr>
        <w:keepNext/>
        <w:spacing w:before="240" w:after="240"/>
        <w:ind w:left="1498" w:hanging="749"/>
        <w:jc w:val="both"/>
        <w:rPr>
          <w:rFonts w:eastAsia="MS Mincho"/>
          <w:b/>
        </w:rPr>
      </w:pPr>
      <w:r w:rsidRPr="00561C13">
        <w:rPr>
          <w:rFonts w:eastAsia="MS Mincho"/>
          <w:b/>
        </w:rPr>
        <w:t>B.</w:t>
      </w:r>
      <w:r w:rsidRPr="00561C13">
        <w:rPr>
          <w:rFonts w:eastAsia="MS Mincho"/>
          <w:b/>
        </w:rPr>
        <w:tab/>
        <w:t xml:space="preserve">The Hearing Officer did not err in </w:t>
      </w:r>
      <w:r w:rsidR="00105CDE" w:rsidRPr="00561C13">
        <w:rPr>
          <w:rFonts w:eastAsia="MS Mincho"/>
          <w:b/>
        </w:rPr>
        <w:t>finding that the connected load at the Premises exceeds 900 kW</w:t>
      </w:r>
      <w:r w:rsidR="00FA152B" w:rsidRPr="00561C13">
        <w:rPr>
          <w:rFonts w:eastAsia="MS Mincho"/>
          <w:b/>
        </w:rPr>
        <w:t xml:space="preserve"> at initial full operation</w:t>
      </w:r>
      <w:r w:rsidR="00105CDE" w:rsidRPr="00561C13">
        <w:rPr>
          <w:rFonts w:eastAsia="MS Mincho"/>
          <w:b/>
        </w:rPr>
        <w:t>.</w:t>
      </w:r>
    </w:p>
    <w:p w14:paraId="2E9CA3D8" w14:textId="00B71922" w:rsidR="00F35D84" w:rsidRDefault="00AA0153" w:rsidP="00B13F43">
      <w:pPr>
        <w:keepNext/>
        <w:spacing w:line="480" w:lineRule="auto"/>
        <w:ind w:firstLine="720"/>
        <w:jc w:val="both"/>
        <w:rPr>
          <w:rFonts w:eastAsia="MS Mincho"/>
        </w:rPr>
      </w:pPr>
      <w:r>
        <w:rPr>
          <w:rFonts w:eastAsia="MS Mincho"/>
        </w:rPr>
        <w:t xml:space="preserve">Since </w:t>
      </w:r>
      <w:r w:rsidR="00570E75">
        <w:rPr>
          <w:rFonts w:eastAsia="MS Mincho"/>
        </w:rPr>
        <w:t xml:space="preserve">the </w:t>
      </w:r>
      <w:r>
        <w:rPr>
          <w:rFonts w:eastAsia="MS Mincho"/>
        </w:rPr>
        <w:t>pass</w:t>
      </w:r>
      <w:r w:rsidR="00570E75">
        <w:rPr>
          <w:rFonts w:eastAsia="MS Mincho"/>
        </w:rPr>
        <w:t>ing</w:t>
      </w:r>
      <w:r>
        <w:rPr>
          <w:rFonts w:eastAsia="MS Mincho"/>
        </w:rPr>
        <w:t xml:space="preserve"> of the Territorial Act, the Commission has issued numerous orders </w:t>
      </w:r>
      <w:r w:rsidR="00F61406">
        <w:rPr>
          <w:rFonts w:eastAsia="MS Mincho"/>
        </w:rPr>
        <w:t>addressing</w:t>
      </w:r>
      <w:r>
        <w:rPr>
          <w:rFonts w:eastAsia="MS Mincho"/>
        </w:rPr>
        <w:t xml:space="preserve"> the </w:t>
      </w:r>
      <w:r w:rsidR="001919F0">
        <w:rPr>
          <w:rFonts w:eastAsia="MS Mincho"/>
        </w:rPr>
        <w:t>calculation of a premises’</w:t>
      </w:r>
      <w:r>
        <w:rPr>
          <w:rFonts w:eastAsia="MS Mincho"/>
        </w:rPr>
        <w:t xml:space="preserve"> connected load to determine the applicability of the large </w:t>
      </w:r>
      <w:r>
        <w:rPr>
          <w:rFonts w:eastAsia="MS Mincho"/>
        </w:rPr>
        <w:lastRenderedPageBreak/>
        <w:t>load exception.</w:t>
      </w:r>
      <w:r w:rsidR="00C9594E">
        <w:rPr>
          <w:rFonts w:eastAsia="MS Mincho"/>
        </w:rPr>
        <w:t xml:space="preserve"> None of these decisions support Sawnee EMC’s unprecedented demand that the Hearing Officer and Commission exclude</w:t>
      </w:r>
      <w:r w:rsidR="00570E75">
        <w:rPr>
          <w:rFonts w:eastAsia="MS Mincho"/>
        </w:rPr>
        <w:t xml:space="preserve"> from the determination of connected load the</w:t>
      </w:r>
      <w:r w:rsidR="00C9594E">
        <w:rPr>
          <w:rFonts w:eastAsia="MS Mincho"/>
        </w:rPr>
        <w:t xml:space="preserve"> </w:t>
      </w:r>
      <w:r w:rsidR="001919F0">
        <w:rPr>
          <w:rFonts w:eastAsia="MS Mincho"/>
        </w:rPr>
        <w:t xml:space="preserve">hard-wired </w:t>
      </w:r>
      <w:r w:rsidR="00C9594E">
        <w:rPr>
          <w:rFonts w:eastAsia="MS Mincho"/>
        </w:rPr>
        <w:t>electrical</w:t>
      </w:r>
      <w:r w:rsidR="008D1DCB">
        <w:rPr>
          <w:rFonts w:eastAsia="MS Mincho"/>
        </w:rPr>
        <w:t xml:space="preserve"> </w:t>
      </w:r>
      <w:r w:rsidR="00C9594E">
        <w:rPr>
          <w:rFonts w:eastAsia="MS Mincho"/>
        </w:rPr>
        <w:t>equipment</w:t>
      </w:r>
      <w:r w:rsidR="009A5675">
        <w:rPr>
          <w:rFonts w:eastAsia="MS Mincho"/>
        </w:rPr>
        <w:t xml:space="preserve"> (</w:t>
      </w:r>
      <w:r w:rsidR="0089431D">
        <w:rPr>
          <w:rFonts w:eastAsia="MS Mincho"/>
          <w:i/>
          <w:iCs/>
        </w:rPr>
        <w:t xml:space="preserve">i.e., </w:t>
      </w:r>
      <w:r w:rsidR="009A5675">
        <w:rPr>
          <w:rFonts w:eastAsia="MS Mincho"/>
        </w:rPr>
        <w:t>power cabinets</w:t>
      </w:r>
      <w:r w:rsidR="00B13F43">
        <w:rPr>
          <w:rFonts w:eastAsia="MS Mincho"/>
        </w:rPr>
        <w:t xml:space="preserve"> and rectifiers)</w:t>
      </w:r>
      <w:r w:rsidR="00C9594E">
        <w:rPr>
          <w:rFonts w:eastAsia="MS Mincho"/>
        </w:rPr>
        <w:t xml:space="preserve"> necessary for </w:t>
      </w:r>
      <w:r w:rsidR="002C4DC3">
        <w:rPr>
          <w:rFonts w:eastAsia="MS Mincho"/>
        </w:rPr>
        <w:t xml:space="preserve">initial </w:t>
      </w:r>
      <w:r w:rsidR="00C9594E">
        <w:rPr>
          <w:rFonts w:eastAsia="MS Mincho"/>
        </w:rPr>
        <w:t xml:space="preserve">full operation of the </w:t>
      </w:r>
      <w:r w:rsidR="0089431D">
        <w:rPr>
          <w:rFonts w:eastAsia="MS Mincho"/>
        </w:rPr>
        <w:t>Premises</w:t>
      </w:r>
      <w:r w:rsidR="00C9594E">
        <w:rPr>
          <w:rFonts w:eastAsia="MS Mincho"/>
        </w:rPr>
        <w:t>.</w:t>
      </w:r>
      <w:r>
        <w:rPr>
          <w:rFonts w:eastAsia="MS Mincho"/>
        </w:rPr>
        <w:t xml:space="preserve"> </w:t>
      </w:r>
      <w:r w:rsidR="001919F0">
        <w:rPr>
          <w:rFonts w:eastAsia="MS Mincho"/>
        </w:rPr>
        <w:t>T</w:t>
      </w:r>
      <w:r>
        <w:rPr>
          <w:rFonts w:eastAsia="MS Mincho"/>
        </w:rPr>
        <w:t xml:space="preserve">he Initial Decision thoughtfully </w:t>
      </w:r>
      <w:r w:rsidR="00974013">
        <w:rPr>
          <w:rFonts w:eastAsia="MS Mincho"/>
        </w:rPr>
        <w:t>synthesizes</w:t>
      </w:r>
      <w:r>
        <w:rPr>
          <w:rFonts w:eastAsia="MS Mincho"/>
        </w:rPr>
        <w:t xml:space="preserve"> Commission precedent to establish the framework for </w:t>
      </w:r>
      <w:r w:rsidR="00C9594E">
        <w:rPr>
          <w:rFonts w:eastAsia="MS Mincho"/>
        </w:rPr>
        <w:t>determining connected load</w:t>
      </w:r>
      <w:r>
        <w:rPr>
          <w:rFonts w:eastAsia="MS Mincho"/>
        </w:rPr>
        <w:t xml:space="preserve"> in the present case</w:t>
      </w:r>
      <w:r w:rsidR="00E51432">
        <w:rPr>
          <w:rFonts w:eastAsia="MS Mincho"/>
        </w:rPr>
        <w:t xml:space="preserve"> before ultimately concluding that Georgia Power met its burden</w:t>
      </w:r>
      <w:r w:rsidR="00B13F43">
        <w:rPr>
          <w:rFonts w:eastAsia="MS Mincho"/>
        </w:rPr>
        <w:t xml:space="preserve"> of proof</w:t>
      </w:r>
      <w:r>
        <w:rPr>
          <w:rFonts w:eastAsia="MS Mincho"/>
        </w:rPr>
        <w:t>. (</w:t>
      </w:r>
      <w:r w:rsidRPr="00974013">
        <w:rPr>
          <w:rFonts w:eastAsia="MS Mincho"/>
          <w:i/>
          <w:iCs/>
        </w:rPr>
        <w:t>Initial Decision</w:t>
      </w:r>
      <w:r w:rsidR="00974013">
        <w:rPr>
          <w:rFonts w:eastAsia="MS Mincho"/>
        </w:rPr>
        <w:t xml:space="preserve"> 9-12</w:t>
      </w:r>
      <w:r w:rsidR="00E43E59">
        <w:rPr>
          <w:rFonts w:eastAsia="MS Mincho"/>
        </w:rPr>
        <w:t>.</w:t>
      </w:r>
      <w:r>
        <w:rPr>
          <w:rFonts w:eastAsia="MS Mincho"/>
        </w:rPr>
        <w:t>)</w:t>
      </w:r>
      <w:r w:rsidR="00685479">
        <w:rPr>
          <w:rFonts w:eastAsia="MS Mincho"/>
        </w:rPr>
        <w:t xml:space="preserve"> </w:t>
      </w:r>
    </w:p>
    <w:p w14:paraId="7BF2D8D2" w14:textId="0B4BD73D" w:rsidR="00C708EB" w:rsidRDefault="00E51432" w:rsidP="00B13F43">
      <w:pPr>
        <w:keepNext/>
        <w:spacing w:line="480" w:lineRule="auto"/>
        <w:ind w:firstLine="720"/>
        <w:jc w:val="both"/>
        <w:rPr>
          <w:rFonts w:eastAsia="MS Mincho"/>
        </w:rPr>
      </w:pPr>
      <w:r>
        <w:rPr>
          <w:rFonts w:eastAsia="MS Mincho"/>
        </w:rPr>
        <w:t xml:space="preserve">At the outset, </w:t>
      </w:r>
      <w:r w:rsidR="00FB3F61">
        <w:rPr>
          <w:rFonts w:eastAsia="MS Mincho"/>
        </w:rPr>
        <w:t xml:space="preserve">the </w:t>
      </w:r>
      <w:r w:rsidR="001919F0">
        <w:rPr>
          <w:rFonts w:eastAsia="MS Mincho"/>
        </w:rPr>
        <w:t>Hearing Officer</w:t>
      </w:r>
      <w:r w:rsidR="00FB3F61">
        <w:rPr>
          <w:rFonts w:eastAsia="MS Mincho"/>
        </w:rPr>
        <w:t xml:space="preserve"> correctly</w:t>
      </w:r>
      <w:r>
        <w:rPr>
          <w:rFonts w:eastAsia="MS Mincho"/>
        </w:rPr>
        <w:t xml:space="preserve"> </w:t>
      </w:r>
      <w:r w:rsidR="00331940">
        <w:rPr>
          <w:rFonts w:eastAsia="MS Mincho"/>
        </w:rPr>
        <w:t>finds</w:t>
      </w:r>
      <w:r>
        <w:rPr>
          <w:rFonts w:eastAsia="MS Mincho"/>
        </w:rPr>
        <w:t xml:space="preserve"> </w:t>
      </w:r>
      <w:r w:rsidR="00570E75">
        <w:rPr>
          <w:rFonts w:eastAsia="MS Mincho"/>
        </w:rPr>
        <w:t xml:space="preserve">that </w:t>
      </w:r>
      <w:r>
        <w:rPr>
          <w:rFonts w:eastAsia="MS Mincho"/>
        </w:rPr>
        <w:t>“none of the connected load is contingent upon equipment brought to the Premises by a third party</w:t>
      </w:r>
      <w:r w:rsidR="00B13F43">
        <w:rPr>
          <w:rFonts w:eastAsia="MS Mincho"/>
        </w:rPr>
        <w:t>.</w:t>
      </w:r>
      <w:r>
        <w:rPr>
          <w:rFonts w:eastAsia="MS Mincho"/>
        </w:rPr>
        <w:t>”</w:t>
      </w:r>
      <w:r w:rsidR="00570E75">
        <w:rPr>
          <w:rFonts w:eastAsia="MS Mincho"/>
        </w:rPr>
        <w:t xml:space="preserve"> </w:t>
      </w:r>
      <w:r w:rsidR="00B13F43">
        <w:rPr>
          <w:rFonts w:eastAsia="MS Mincho"/>
        </w:rPr>
        <w:t>T</w:t>
      </w:r>
      <w:r w:rsidR="00570E75">
        <w:rPr>
          <w:rFonts w:eastAsia="MS Mincho"/>
        </w:rPr>
        <w:t>hus</w:t>
      </w:r>
      <w:r w:rsidR="00B13F43">
        <w:rPr>
          <w:rFonts w:eastAsia="MS Mincho"/>
        </w:rPr>
        <w:t>,</w:t>
      </w:r>
      <w:r>
        <w:rPr>
          <w:rFonts w:eastAsia="MS Mincho"/>
        </w:rPr>
        <w:t xml:space="preserve"> rejecting</w:t>
      </w:r>
      <w:r w:rsidR="00B91E72">
        <w:rPr>
          <w:rFonts w:eastAsia="MS Mincho"/>
        </w:rPr>
        <w:t xml:space="preserve"> Sawnee’s unsupported </w:t>
      </w:r>
      <w:r w:rsidR="00974013">
        <w:rPr>
          <w:rFonts w:eastAsia="MS Mincho"/>
        </w:rPr>
        <w:t>assertions</w:t>
      </w:r>
      <w:r w:rsidR="00B91E72">
        <w:rPr>
          <w:rFonts w:eastAsia="MS Mincho"/>
        </w:rPr>
        <w:t xml:space="preserve"> that Georgia Power’s load count include</w:t>
      </w:r>
      <w:r w:rsidR="00DC58E1">
        <w:rPr>
          <w:rFonts w:eastAsia="MS Mincho"/>
        </w:rPr>
        <w:t>s</w:t>
      </w:r>
      <w:r w:rsidR="00B91E72">
        <w:rPr>
          <w:rFonts w:eastAsia="MS Mincho"/>
        </w:rPr>
        <w:t xml:space="preserve"> </w:t>
      </w:r>
      <w:r w:rsidR="00DC58E1">
        <w:rPr>
          <w:rFonts w:eastAsia="MS Mincho"/>
        </w:rPr>
        <w:t xml:space="preserve">mobile </w:t>
      </w:r>
      <w:r w:rsidR="00B91E72">
        <w:rPr>
          <w:rFonts w:eastAsia="MS Mincho"/>
        </w:rPr>
        <w:t xml:space="preserve">equipment </w:t>
      </w:r>
      <w:r w:rsidR="00570E75" w:rsidRPr="00570E75">
        <w:rPr>
          <w:rFonts w:eastAsia="MS Mincho"/>
        </w:rPr>
        <w:t>(</w:t>
      </w:r>
      <w:r w:rsidR="00570E75" w:rsidRPr="004B5103">
        <w:rPr>
          <w:rFonts w:eastAsia="MS Mincho"/>
          <w:i/>
          <w:iCs/>
        </w:rPr>
        <w:t>i.e.,</w:t>
      </w:r>
      <w:r w:rsidR="00570E75" w:rsidRPr="00570E75">
        <w:rPr>
          <w:rFonts w:eastAsia="MS Mincho"/>
        </w:rPr>
        <w:t xml:space="preserve"> the batteries contained in a third party’s electric vehicle) that is </w:t>
      </w:r>
      <w:r w:rsidR="00DC58E1">
        <w:rPr>
          <w:rFonts w:eastAsia="MS Mincho"/>
        </w:rPr>
        <w:t xml:space="preserve">unconnected </w:t>
      </w:r>
      <w:r w:rsidR="001919F0">
        <w:rPr>
          <w:rFonts w:eastAsia="MS Mincho"/>
        </w:rPr>
        <w:t xml:space="preserve">from </w:t>
      </w:r>
      <w:r w:rsidR="00DC58E1">
        <w:rPr>
          <w:rFonts w:eastAsia="MS Mincho"/>
        </w:rPr>
        <w:t xml:space="preserve">or </w:t>
      </w:r>
      <w:r w:rsidR="00B91E72">
        <w:rPr>
          <w:rFonts w:eastAsia="MS Mincho"/>
        </w:rPr>
        <w:t>not present at the Premises. (</w:t>
      </w:r>
      <w:r w:rsidR="00974013" w:rsidRPr="00A82596">
        <w:rPr>
          <w:rFonts w:eastAsia="MS Mincho"/>
          <w:i/>
          <w:iCs/>
        </w:rPr>
        <w:t>Initial Decision</w:t>
      </w:r>
      <w:r w:rsidR="00974013">
        <w:rPr>
          <w:rFonts w:eastAsia="MS Mincho"/>
        </w:rPr>
        <w:t xml:space="preserve"> 10</w:t>
      </w:r>
      <w:r w:rsidR="00124E83">
        <w:rPr>
          <w:rFonts w:eastAsia="MS Mincho"/>
        </w:rPr>
        <w:t>.</w:t>
      </w:r>
      <w:r w:rsidR="00B91E72">
        <w:rPr>
          <w:rFonts w:eastAsia="MS Mincho"/>
        </w:rPr>
        <w:t>)</w:t>
      </w:r>
      <w:r>
        <w:rPr>
          <w:rFonts w:eastAsia="MS Mincho"/>
        </w:rPr>
        <w:t xml:space="preserve"> </w:t>
      </w:r>
      <w:r w:rsidR="00F61406">
        <w:rPr>
          <w:rFonts w:eastAsia="MS Mincho"/>
        </w:rPr>
        <w:t>The</w:t>
      </w:r>
      <w:r w:rsidR="009C2568">
        <w:rPr>
          <w:rFonts w:eastAsia="MS Mincho"/>
        </w:rPr>
        <w:t xml:space="preserve"> Hearing Officer </w:t>
      </w:r>
      <w:r w:rsidR="009D6852">
        <w:rPr>
          <w:rFonts w:eastAsia="MS Mincho"/>
        </w:rPr>
        <w:t>analyzed</w:t>
      </w:r>
      <w:r w:rsidR="009C2568">
        <w:rPr>
          <w:rFonts w:eastAsia="MS Mincho"/>
        </w:rPr>
        <w:t xml:space="preserve"> Commission</w:t>
      </w:r>
      <w:r w:rsidR="00F61406">
        <w:rPr>
          <w:rFonts w:eastAsia="MS Mincho"/>
        </w:rPr>
        <w:t xml:space="preserve"> precedent addressing</w:t>
      </w:r>
      <w:r w:rsidR="009D6852">
        <w:rPr>
          <w:rFonts w:eastAsia="MS Mincho"/>
        </w:rPr>
        <w:t xml:space="preserve"> the</w:t>
      </w:r>
      <w:r w:rsidR="00331940">
        <w:rPr>
          <w:rFonts w:eastAsia="MS Mincho"/>
        </w:rPr>
        <w:t xml:space="preserve"> application of the connected load test consistent with </w:t>
      </w:r>
      <w:r w:rsidR="00DC58E1">
        <w:rPr>
          <w:rFonts w:eastAsia="MS Mincho"/>
        </w:rPr>
        <w:t xml:space="preserve">the </w:t>
      </w:r>
      <w:r w:rsidR="00CB7F36">
        <w:rPr>
          <w:rFonts w:eastAsia="MS Mincho"/>
        </w:rPr>
        <w:t>statutory “time of initial full operation” test</w:t>
      </w:r>
      <w:r w:rsidR="00331940">
        <w:rPr>
          <w:rFonts w:eastAsia="MS Mincho"/>
        </w:rPr>
        <w:t xml:space="preserve">, citing </w:t>
      </w:r>
      <w:r w:rsidR="00CC4574" w:rsidRPr="00CC4574">
        <w:rPr>
          <w:rFonts w:eastAsia="MS Mincho"/>
          <w:i/>
          <w:iCs/>
        </w:rPr>
        <w:t>Georgia Power Co. vs. Central GA EMC</w:t>
      </w:r>
      <w:r w:rsidR="00CC4574" w:rsidRPr="00CC4574">
        <w:rPr>
          <w:rFonts w:eastAsia="MS Mincho"/>
        </w:rPr>
        <w:t xml:space="preserve">, </w:t>
      </w:r>
      <w:proofErr w:type="spellStart"/>
      <w:r w:rsidR="00CC4574" w:rsidRPr="00CC4574">
        <w:rPr>
          <w:rFonts w:eastAsia="MS Mincho"/>
        </w:rPr>
        <w:t>Dkt</w:t>
      </w:r>
      <w:proofErr w:type="spellEnd"/>
      <w:r w:rsidR="00CC4574" w:rsidRPr="00CC4574">
        <w:rPr>
          <w:rFonts w:eastAsia="MS Mincho"/>
        </w:rPr>
        <w:t>. No. 3885-U, 10 (Initial Decision, Aug. 5, 1998)</w:t>
      </w:r>
      <w:r w:rsidR="00F423CD">
        <w:rPr>
          <w:rFonts w:eastAsia="MS Mincho"/>
        </w:rPr>
        <w:t xml:space="preserve"> </w:t>
      </w:r>
      <w:r w:rsidR="00CC4574">
        <w:rPr>
          <w:rFonts w:eastAsia="MS Mincho"/>
        </w:rPr>
        <w:t>(</w:t>
      </w:r>
      <w:r w:rsidR="002C4DC3">
        <w:rPr>
          <w:rFonts w:eastAsia="MS Mincho"/>
        </w:rPr>
        <w:t>counting</w:t>
      </w:r>
      <w:r w:rsidR="00CC4574">
        <w:rPr>
          <w:rFonts w:eastAsia="MS Mincho"/>
        </w:rPr>
        <w:t xml:space="preserve"> </w:t>
      </w:r>
      <w:r w:rsidR="00F423CD">
        <w:rPr>
          <w:rFonts w:eastAsia="MS Mincho"/>
        </w:rPr>
        <w:t>all</w:t>
      </w:r>
      <w:r w:rsidR="00DC58E1">
        <w:rPr>
          <w:rFonts w:eastAsia="MS Mincho"/>
        </w:rPr>
        <w:t xml:space="preserve"> </w:t>
      </w:r>
      <w:r w:rsidR="00CC4574">
        <w:rPr>
          <w:rFonts w:eastAsia="MS Mincho"/>
        </w:rPr>
        <w:t>equipment load at the premises at the time it commences operation);</w:t>
      </w:r>
      <w:r w:rsidR="00DC58E1">
        <w:rPr>
          <w:rFonts w:eastAsia="MS Mincho"/>
        </w:rPr>
        <w:t xml:space="preserve"> </w:t>
      </w:r>
      <w:r w:rsidR="00331940" w:rsidRPr="00331940">
        <w:rPr>
          <w:rFonts w:eastAsia="MS Mincho"/>
          <w:i/>
          <w:iCs/>
        </w:rPr>
        <w:t>Troup EMC v. Georgia Power Co.,</w:t>
      </w:r>
      <w:r w:rsidR="00331940" w:rsidRPr="00331940">
        <w:rPr>
          <w:rFonts w:eastAsia="MS Mincho"/>
        </w:rPr>
        <w:t xml:space="preserve"> </w:t>
      </w:r>
      <w:proofErr w:type="spellStart"/>
      <w:r w:rsidR="00331940" w:rsidRPr="00331940">
        <w:rPr>
          <w:rFonts w:eastAsia="MS Mincho"/>
        </w:rPr>
        <w:t>Dkt</w:t>
      </w:r>
      <w:proofErr w:type="spellEnd"/>
      <w:r w:rsidR="00331940" w:rsidRPr="00331940">
        <w:rPr>
          <w:rFonts w:eastAsia="MS Mincho"/>
        </w:rPr>
        <w:t>. No. 3827-U, 9-10 (Initial Decision, Jan. 25, 1989)</w:t>
      </w:r>
      <w:r w:rsidR="00CC4574">
        <w:rPr>
          <w:rFonts w:eastAsia="MS Mincho"/>
        </w:rPr>
        <w:t xml:space="preserve"> (disallowing </w:t>
      </w:r>
      <w:r w:rsidR="00F423CD">
        <w:rPr>
          <w:rFonts w:eastAsia="MS Mincho"/>
        </w:rPr>
        <w:t xml:space="preserve">mere </w:t>
      </w:r>
      <w:r w:rsidR="00CC4574">
        <w:rPr>
          <w:rFonts w:eastAsia="MS Mincho"/>
        </w:rPr>
        <w:t xml:space="preserve">receptacle capacity as a proxy for </w:t>
      </w:r>
      <w:r w:rsidR="000C0339">
        <w:rPr>
          <w:rFonts w:eastAsia="MS Mincho"/>
        </w:rPr>
        <w:t xml:space="preserve">equipment </w:t>
      </w:r>
      <w:r w:rsidR="00CC4574">
        <w:rPr>
          <w:rFonts w:eastAsia="MS Mincho"/>
        </w:rPr>
        <w:t>load but counting</w:t>
      </w:r>
      <w:r w:rsidR="000C0339">
        <w:rPr>
          <w:rFonts w:eastAsia="MS Mincho"/>
        </w:rPr>
        <w:t xml:space="preserve"> all</w:t>
      </w:r>
      <w:r w:rsidR="00DC58E1">
        <w:rPr>
          <w:rFonts w:eastAsia="MS Mincho"/>
        </w:rPr>
        <w:t xml:space="preserve"> </w:t>
      </w:r>
      <w:r w:rsidR="00CC4574">
        <w:rPr>
          <w:rFonts w:eastAsia="MS Mincho"/>
        </w:rPr>
        <w:t>equipment load whether hard-wired or plugged into receptacles</w:t>
      </w:r>
      <w:r w:rsidR="00CB7F36">
        <w:rPr>
          <w:rFonts w:eastAsia="MS Mincho"/>
        </w:rPr>
        <w:t xml:space="preserve"> </w:t>
      </w:r>
      <w:r w:rsidR="00CC4574">
        <w:rPr>
          <w:rFonts w:eastAsia="MS Mincho"/>
        </w:rPr>
        <w:t>at the time of initial full operation)</w:t>
      </w:r>
      <w:r w:rsidR="0089431D">
        <w:rPr>
          <w:rFonts w:eastAsia="MS Mincho"/>
        </w:rPr>
        <w:t>;</w:t>
      </w:r>
      <w:r w:rsidR="002C4DC3">
        <w:rPr>
          <w:rFonts w:eastAsia="MS Mincho"/>
        </w:rPr>
        <w:t xml:space="preserve"> and</w:t>
      </w:r>
      <w:r w:rsidR="00DC58E1">
        <w:rPr>
          <w:rFonts w:eastAsia="MS Mincho"/>
        </w:rPr>
        <w:t xml:space="preserve"> </w:t>
      </w:r>
      <w:r w:rsidR="006F73BA" w:rsidRPr="006F73BA">
        <w:rPr>
          <w:rFonts w:eastAsia="MS Mincho"/>
          <w:i/>
          <w:iCs/>
        </w:rPr>
        <w:t>Douglas Country EMC v. Georgia Power Co</w:t>
      </w:r>
      <w:r w:rsidR="006F73BA" w:rsidRPr="006F73BA">
        <w:rPr>
          <w:rFonts w:eastAsia="MS Mincho"/>
        </w:rPr>
        <w:t xml:space="preserve">., </w:t>
      </w:r>
      <w:proofErr w:type="spellStart"/>
      <w:r w:rsidR="006F73BA" w:rsidRPr="006F73BA">
        <w:rPr>
          <w:rFonts w:eastAsia="MS Mincho"/>
        </w:rPr>
        <w:t>Dkt</w:t>
      </w:r>
      <w:proofErr w:type="spellEnd"/>
      <w:r w:rsidR="006F73BA" w:rsidRPr="006F73BA">
        <w:rPr>
          <w:rFonts w:eastAsia="MS Mincho"/>
        </w:rPr>
        <w:t>. No. 3686-U, 7 (Initial Decision, June 8, 1988)</w:t>
      </w:r>
      <w:r w:rsidR="00CC4574">
        <w:rPr>
          <w:rFonts w:eastAsia="MS Mincho"/>
        </w:rPr>
        <w:t xml:space="preserve"> (</w:t>
      </w:r>
      <w:r w:rsidR="002C4DC3">
        <w:rPr>
          <w:rFonts w:eastAsia="MS Mincho"/>
        </w:rPr>
        <w:t>finding</w:t>
      </w:r>
      <w:r w:rsidR="000C0339">
        <w:rPr>
          <w:rFonts w:eastAsia="MS Mincho"/>
        </w:rPr>
        <w:t xml:space="preserve"> that the connected load test is used because it can be applied prior to actual </w:t>
      </w:r>
      <w:r w:rsidR="000C0339">
        <w:rPr>
          <w:rFonts w:eastAsia="MS Mincho"/>
        </w:rPr>
        <w:lastRenderedPageBreak/>
        <w:t>construction</w:t>
      </w:r>
      <w:r w:rsidR="002C4DC3">
        <w:rPr>
          <w:rFonts w:eastAsia="MS Mincho"/>
        </w:rPr>
        <w:t xml:space="preserve"> and operation of the premises</w:t>
      </w:r>
      <w:r w:rsidR="000C0339">
        <w:rPr>
          <w:rFonts w:eastAsia="MS Mincho"/>
        </w:rPr>
        <w:t xml:space="preserve"> </w:t>
      </w:r>
      <w:r w:rsidR="00CC4574">
        <w:rPr>
          <w:rFonts w:eastAsia="MS Mincho"/>
        </w:rPr>
        <w:t>to permit timely supply of adequate serv</w:t>
      </w:r>
      <w:r w:rsidR="000C0339">
        <w:rPr>
          <w:rFonts w:eastAsia="MS Mincho"/>
        </w:rPr>
        <w:t>ice</w:t>
      </w:r>
      <w:r w:rsidR="00BE6C01">
        <w:rPr>
          <w:rFonts w:eastAsia="MS Mincho"/>
        </w:rPr>
        <w:t xml:space="preserve"> consist</w:t>
      </w:r>
      <w:r w:rsidR="00124E83">
        <w:rPr>
          <w:rFonts w:eastAsia="MS Mincho"/>
        </w:rPr>
        <w:t>ent</w:t>
      </w:r>
      <w:r w:rsidR="00BE6C01">
        <w:rPr>
          <w:rFonts w:eastAsia="MS Mincho"/>
        </w:rPr>
        <w:t xml:space="preserve"> wit</w:t>
      </w:r>
      <w:r w:rsidR="00D50592">
        <w:rPr>
          <w:rFonts w:eastAsia="MS Mincho"/>
        </w:rPr>
        <w:t>h “sound utility engineering practice”</w:t>
      </w:r>
      <w:r w:rsidR="000C0339">
        <w:rPr>
          <w:rFonts w:eastAsia="MS Mincho"/>
        </w:rPr>
        <w:t>)</w:t>
      </w:r>
      <w:r w:rsidR="006F73BA" w:rsidRPr="006F73BA">
        <w:rPr>
          <w:rFonts w:eastAsia="MS Mincho"/>
        </w:rPr>
        <w:t>.</w:t>
      </w:r>
      <w:r w:rsidR="00DC58E1">
        <w:rPr>
          <w:rFonts w:eastAsia="MS Mincho"/>
        </w:rPr>
        <w:t xml:space="preserve"> </w:t>
      </w:r>
      <w:r w:rsidR="006A1E7F">
        <w:rPr>
          <w:rFonts w:eastAsia="MS Mincho"/>
        </w:rPr>
        <w:t>(</w:t>
      </w:r>
      <w:r w:rsidR="00D50592" w:rsidRPr="006A1E7F">
        <w:rPr>
          <w:rFonts w:eastAsia="MS Mincho"/>
          <w:i/>
          <w:iCs/>
        </w:rPr>
        <w:t>Initial Decision</w:t>
      </w:r>
      <w:r w:rsidR="006A1E7F">
        <w:rPr>
          <w:rFonts w:eastAsia="MS Mincho"/>
        </w:rPr>
        <w:t xml:space="preserve"> </w:t>
      </w:r>
      <w:r w:rsidR="00D50592">
        <w:rPr>
          <w:rFonts w:eastAsia="MS Mincho"/>
        </w:rPr>
        <w:t>11.</w:t>
      </w:r>
      <w:r w:rsidR="006A1E7F">
        <w:rPr>
          <w:rFonts w:eastAsia="MS Mincho"/>
        </w:rPr>
        <w:t>)</w:t>
      </w:r>
    </w:p>
    <w:p w14:paraId="7571D3DF" w14:textId="24C00C82" w:rsidR="0075311C" w:rsidRDefault="00B13F43" w:rsidP="004F45FE">
      <w:pPr>
        <w:spacing w:line="480" w:lineRule="auto"/>
        <w:ind w:firstLine="720"/>
        <w:jc w:val="both"/>
        <w:rPr>
          <w:rFonts w:eastAsia="MS Mincho"/>
        </w:rPr>
      </w:pPr>
      <w:r>
        <w:rPr>
          <w:rFonts w:eastAsia="MS Mincho"/>
        </w:rPr>
        <w:t>As acknowledged in the Initial Decision, t</w:t>
      </w:r>
      <w:r w:rsidR="00C708EB">
        <w:rPr>
          <w:rFonts w:eastAsia="MS Mincho"/>
        </w:rPr>
        <w:t xml:space="preserve">he undisputed facts </w:t>
      </w:r>
      <w:r w:rsidR="000572BC">
        <w:rPr>
          <w:rFonts w:eastAsia="MS Mincho"/>
        </w:rPr>
        <w:t>show that all</w:t>
      </w:r>
      <w:r w:rsidR="00DC58E1">
        <w:rPr>
          <w:rFonts w:eastAsia="MS Mincho"/>
        </w:rPr>
        <w:t xml:space="preserve"> </w:t>
      </w:r>
      <w:r w:rsidR="00C708EB">
        <w:rPr>
          <w:rFonts w:eastAsia="MS Mincho"/>
        </w:rPr>
        <w:t xml:space="preserve">equipment </w:t>
      </w:r>
      <w:r w:rsidR="000572BC">
        <w:rPr>
          <w:rFonts w:eastAsia="MS Mincho"/>
        </w:rPr>
        <w:t xml:space="preserve">load </w:t>
      </w:r>
      <w:r w:rsidR="00C708EB">
        <w:rPr>
          <w:rFonts w:eastAsia="MS Mincho"/>
        </w:rPr>
        <w:t>included in the calculation</w:t>
      </w:r>
      <w:r w:rsidR="00B71932">
        <w:rPr>
          <w:rFonts w:eastAsia="MS Mincho"/>
        </w:rPr>
        <w:t xml:space="preserve"> of a connected load exceeding 900kW</w:t>
      </w:r>
      <w:r w:rsidR="00C708EB">
        <w:rPr>
          <w:rFonts w:eastAsia="MS Mincho"/>
        </w:rPr>
        <w:t xml:space="preserve"> was hard-wired to the Premises on the date the Premises achieved </w:t>
      </w:r>
      <w:r w:rsidR="00B91E72">
        <w:rPr>
          <w:rFonts w:eastAsia="MS Mincho"/>
        </w:rPr>
        <w:t>initial full operation. (</w:t>
      </w:r>
      <w:r w:rsidR="00F52CE3">
        <w:rPr>
          <w:rFonts w:eastAsia="MS Mincho"/>
        </w:rPr>
        <w:t>Tr. 97</w:t>
      </w:r>
      <w:r w:rsidR="00E43E59">
        <w:rPr>
          <w:rFonts w:eastAsia="MS Mincho"/>
        </w:rPr>
        <w:t>.</w:t>
      </w:r>
      <w:r w:rsidR="00B91E72">
        <w:rPr>
          <w:rFonts w:eastAsia="MS Mincho"/>
        </w:rPr>
        <w:t>)</w:t>
      </w:r>
      <w:r w:rsidR="00A46E46">
        <w:rPr>
          <w:rFonts w:eastAsia="MS Mincho"/>
        </w:rPr>
        <w:t xml:space="preserve"> </w:t>
      </w:r>
      <w:r w:rsidR="009D6852">
        <w:rPr>
          <w:rFonts w:eastAsia="MS Mincho"/>
        </w:rPr>
        <w:t>Th</w:t>
      </w:r>
      <w:r w:rsidR="00B91E72">
        <w:rPr>
          <w:rFonts w:eastAsia="MS Mincho"/>
        </w:rPr>
        <w:t>e nameplate data of the six power cabinets</w:t>
      </w:r>
      <w:r w:rsidR="00DC58E1">
        <w:rPr>
          <w:rFonts w:eastAsia="MS Mincho"/>
        </w:rPr>
        <w:t>, representing the electric power-consuming devices at the Premises,</w:t>
      </w:r>
      <w:r w:rsidR="00B91E72">
        <w:rPr>
          <w:rFonts w:eastAsia="MS Mincho"/>
        </w:rPr>
        <w:t xml:space="preserve"> show that each cabinet has an AC input rating of 190 kW, totaling 1,140 kW. (Tr. </w:t>
      </w:r>
      <w:r w:rsidR="00F52CE3">
        <w:rPr>
          <w:rFonts w:eastAsia="MS Mincho"/>
        </w:rPr>
        <w:t xml:space="preserve">129, 136, </w:t>
      </w:r>
      <w:r w:rsidR="00B91E72" w:rsidRPr="00F52CE3">
        <w:rPr>
          <w:rFonts w:eastAsia="MS Mincho"/>
        </w:rPr>
        <w:t>169</w:t>
      </w:r>
      <w:r w:rsidR="00F52CE3">
        <w:rPr>
          <w:rFonts w:eastAsia="MS Mincho"/>
        </w:rPr>
        <w:t>, 190</w:t>
      </w:r>
      <w:r w:rsidR="00B91E72">
        <w:rPr>
          <w:rFonts w:eastAsia="MS Mincho"/>
        </w:rPr>
        <w:t>.)</w:t>
      </w:r>
      <w:r w:rsidR="00B71932">
        <w:rPr>
          <w:rFonts w:eastAsia="MS Mincho"/>
        </w:rPr>
        <w:t xml:space="preserve"> Sawnee EMC’s expert witness</w:t>
      </w:r>
      <w:r w:rsidR="00E43E59">
        <w:rPr>
          <w:rFonts w:eastAsia="MS Mincho"/>
        </w:rPr>
        <w:t>,</w:t>
      </w:r>
      <w:r w:rsidR="00B71932">
        <w:rPr>
          <w:rFonts w:eastAsia="MS Mincho"/>
        </w:rPr>
        <w:t xml:space="preserve"> Mr. Mara</w:t>
      </w:r>
      <w:r w:rsidR="00E43E59">
        <w:rPr>
          <w:rFonts w:eastAsia="MS Mincho"/>
        </w:rPr>
        <w:t>,</w:t>
      </w:r>
      <w:r w:rsidR="00B71932">
        <w:rPr>
          <w:rFonts w:eastAsia="MS Mincho"/>
        </w:rPr>
        <w:t xml:space="preserve"> confirmed that none of the equipment was redundant</w:t>
      </w:r>
      <w:r w:rsidR="00F35D84">
        <w:rPr>
          <w:rFonts w:eastAsia="MS Mincho"/>
        </w:rPr>
        <w:t>.</w:t>
      </w:r>
      <w:r w:rsidR="00E62F30">
        <w:rPr>
          <w:rFonts w:eastAsia="MS Mincho"/>
        </w:rPr>
        <w:t xml:space="preserve"> </w:t>
      </w:r>
      <w:r w:rsidR="00E62F30" w:rsidRPr="008D1DCB">
        <w:rPr>
          <w:rFonts w:eastAsia="MS Mincho"/>
        </w:rPr>
        <w:t>(Tr.</w:t>
      </w:r>
      <w:r w:rsidR="008D1DCB" w:rsidRPr="00B17736">
        <w:rPr>
          <w:rFonts w:eastAsia="MS Mincho"/>
        </w:rPr>
        <w:t>78</w:t>
      </w:r>
      <w:r w:rsidR="00B17736">
        <w:rPr>
          <w:rFonts w:eastAsia="MS Mincho"/>
        </w:rPr>
        <w:t xml:space="preserve">, </w:t>
      </w:r>
      <w:r w:rsidR="008D1DCB" w:rsidRPr="00B17736">
        <w:rPr>
          <w:rFonts w:eastAsia="MS Mincho"/>
        </w:rPr>
        <w:t>80</w:t>
      </w:r>
      <w:r w:rsidR="00F35D84">
        <w:rPr>
          <w:rFonts w:eastAsia="MS Mincho"/>
        </w:rPr>
        <w:t>.</w:t>
      </w:r>
      <w:r w:rsidR="00E62F30" w:rsidRPr="008D1DCB">
        <w:rPr>
          <w:rFonts w:eastAsia="MS Mincho"/>
        </w:rPr>
        <w:t>)</w:t>
      </w:r>
      <w:r w:rsidR="00570E75">
        <w:rPr>
          <w:rFonts w:eastAsia="MS Mincho"/>
        </w:rPr>
        <w:t xml:space="preserve"> He further acknowledged that</w:t>
      </w:r>
      <w:r w:rsidR="00B71932">
        <w:rPr>
          <w:rFonts w:eastAsia="MS Mincho"/>
        </w:rPr>
        <w:t xml:space="preserve"> without that equipment load being served</w:t>
      </w:r>
      <w:r w:rsidR="00570E75">
        <w:rPr>
          <w:rFonts w:eastAsia="MS Mincho"/>
        </w:rPr>
        <w:t xml:space="preserve"> </w:t>
      </w:r>
      <w:r w:rsidR="00570E75" w:rsidRPr="00570E75">
        <w:rPr>
          <w:rFonts w:eastAsia="MS Mincho"/>
        </w:rPr>
        <w:t>(</w:t>
      </w:r>
      <w:r w:rsidR="00570E75" w:rsidRPr="00B13F43">
        <w:rPr>
          <w:rFonts w:eastAsia="MS Mincho"/>
          <w:i/>
          <w:iCs/>
        </w:rPr>
        <w:t>i.e.</w:t>
      </w:r>
      <w:r w:rsidR="00570E75" w:rsidRPr="00570E75">
        <w:rPr>
          <w:rFonts w:eastAsia="MS Mincho"/>
        </w:rPr>
        <w:t xml:space="preserve">, the power cabinets and </w:t>
      </w:r>
      <w:r>
        <w:rPr>
          <w:rFonts w:eastAsia="MS Mincho"/>
        </w:rPr>
        <w:t>rectifiers</w:t>
      </w:r>
      <w:r w:rsidR="00570E75" w:rsidRPr="00570E75">
        <w:rPr>
          <w:rFonts w:eastAsia="MS Mincho"/>
        </w:rPr>
        <w:t xml:space="preserve">), </w:t>
      </w:r>
      <w:r w:rsidR="00B71932">
        <w:rPr>
          <w:rFonts w:eastAsia="MS Mincho"/>
        </w:rPr>
        <w:t xml:space="preserve">the Premises would not function </w:t>
      </w:r>
      <w:r w:rsidR="00E62F30">
        <w:rPr>
          <w:rFonts w:eastAsia="MS Mincho"/>
        </w:rPr>
        <w:t xml:space="preserve">as designed as an </w:t>
      </w:r>
      <w:r w:rsidR="00B17736">
        <w:rPr>
          <w:rFonts w:eastAsia="MS Mincho"/>
        </w:rPr>
        <w:t xml:space="preserve">EV </w:t>
      </w:r>
      <w:r w:rsidR="00E62F30">
        <w:rPr>
          <w:rFonts w:eastAsia="MS Mincho"/>
        </w:rPr>
        <w:t xml:space="preserve">charging </w:t>
      </w:r>
      <w:r w:rsidR="00B17736">
        <w:rPr>
          <w:rFonts w:eastAsia="MS Mincho"/>
        </w:rPr>
        <w:t>station</w:t>
      </w:r>
      <w:r w:rsidR="00E62F30">
        <w:rPr>
          <w:rFonts w:eastAsia="MS Mincho"/>
        </w:rPr>
        <w:t xml:space="preserve">. </w:t>
      </w:r>
      <w:r w:rsidR="00E62F30" w:rsidRPr="008D1DCB">
        <w:rPr>
          <w:rFonts w:eastAsia="MS Mincho"/>
        </w:rPr>
        <w:t>(Tr.</w:t>
      </w:r>
      <w:r w:rsidR="00E62F30">
        <w:rPr>
          <w:rFonts w:eastAsia="MS Mincho"/>
        </w:rPr>
        <w:t xml:space="preserve"> </w:t>
      </w:r>
      <w:r w:rsidR="008D1DCB">
        <w:rPr>
          <w:rFonts w:eastAsia="MS Mincho"/>
        </w:rPr>
        <w:t>87,</w:t>
      </w:r>
      <w:r w:rsidR="00B17736">
        <w:rPr>
          <w:rFonts w:eastAsia="MS Mincho"/>
        </w:rPr>
        <w:t xml:space="preserve"> </w:t>
      </w:r>
      <w:r w:rsidR="008D1DCB">
        <w:rPr>
          <w:rFonts w:eastAsia="MS Mincho"/>
        </w:rPr>
        <w:t>89</w:t>
      </w:r>
      <w:r w:rsidR="00B17736">
        <w:rPr>
          <w:rFonts w:eastAsia="MS Mincho"/>
        </w:rPr>
        <w:t>.</w:t>
      </w:r>
      <w:r w:rsidR="00E62F30">
        <w:rPr>
          <w:rFonts w:eastAsia="MS Mincho"/>
        </w:rPr>
        <w:t>)</w:t>
      </w:r>
      <w:r w:rsidR="007E21FB">
        <w:rPr>
          <w:rFonts w:eastAsia="MS Mincho"/>
        </w:rPr>
        <w:t xml:space="preserve"> This testimony, in addition to that of the other </w:t>
      </w:r>
      <w:r w:rsidR="00D50592">
        <w:rPr>
          <w:rFonts w:eastAsia="MS Mincho"/>
        </w:rPr>
        <w:t>parties, confirms the</w:t>
      </w:r>
      <w:r w:rsidR="007E21FB">
        <w:rPr>
          <w:rFonts w:eastAsia="MS Mincho"/>
        </w:rPr>
        <w:t xml:space="preserve"> </w:t>
      </w:r>
      <w:r w:rsidR="00DB3913">
        <w:rPr>
          <w:rFonts w:eastAsia="MS Mincho"/>
        </w:rPr>
        <w:t xml:space="preserve">following </w:t>
      </w:r>
      <w:r w:rsidR="009D6852">
        <w:rPr>
          <w:rFonts w:eastAsia="MS Mincho"/>
        </w:rPr>
        <w:t>crucial finding of</w:t>
      </w:r>
      <w:r w:rsidR="007E21FB">
        <w:rPr>
          <w:rFonts w:eastAsia="MS Mincho"/>
        </w:rPr>
        <w:t xml:space="preserve"> the </w:t>
      </w:r>
      <w:r w:rsidR="00DB3913">
        <w:rPr>
          <w:rFonts w:eastAsia="MS Mincho"/>
        </w:rPr>
        <w:t>Initial Decision:</w:t>
      </w:r>
      <w:r w:rsidR="00DB3913" w:rsidRPr="00BB68A9">
        <w:t xml:space="preserve"> </w:t>
      </w:r>
      <w:r w:rsidR="00DB3913" w:rsidRPr="00DB3913">
        <w:t>“</w:t>
      </w:r>
      <w:r w:rsidR="00DB3913" w:rsidRPr="00B17736">
        <w:t>The power cabinets and charging apparatus are hard wired, have a collective nameplate rating that exceed 900</w:t>
      </w:r>
      <w:r w:rsidR="00B17736">
        <w:t xml:space="preserve"> </w:t>
      </w:r>
      <w:r w:rsidR="00DB3913" w:rsidRPr="00B17736">
        <w:t>kW and are a vital, necessary part of the initial full operation of the Premises.</w:t>
      </w:r>
      <w:r w:rsidR="00DB3913" w:rsidRPr="00DB3913">
        <w:t>”</w:t>
      </w:r>
      <w:r w:rsidR="00DB3913">
        <w:t xml:space="preserve"> </w:t>
      </w:r>
      <w:r w:rsidR="00B17736">
        <w:t>(</w:t>
      </w:r>
      <w:r w:rsidR="00DB3913" w:rsidRPr="006A1E7F">
        <w:rPr>
          <w:i/>
          <w:iCs/>
        </w:rPr>
        <w:t>Initial Decision</w:t>
      </w:r>
      <w:r w:rsidR="006A1E7F">
        <w:t xml:space="preserve"> </w:t>
      </w:r>
      <w:r w:rsidR="00DB3913">
        <w:t>11</w:t>
      </w:r>
      <w:r w:rsidR="00D50592">
        <w:t>.</w:t>
      </w:r>
      <w:r w:rsidR="00B17736">
        <w:t>)</w:t>
      </w:r>
      <w:r w:rsidR="00DC58E1">
        <w:t xml:space="preserve"> </w:t>
      </w:r>
      <w:r w:rsidR="00F323ED">
        <w:rPr>
          <w:rFonts w:eastAsia="MS Mincho"/>
        </w:rPr>
        <w:t xml:space="preserve">Additional expert </w:t>
      </w:r>
      <w:r w:rsidR="00DF02AA">
        <w:rPr>
          <w:rFonts w:eastAsia="MS Mincho"/>
        </w:rPr>
        <w:t xml:space="preserve">testimony from both sides </w:t>
      </w:r>
      <w:r w:rsidR="00F323ED">
        <w:rPr>
          <w:rFonts w:eastAsia="MS Mincho"/>
        </w:rPr>
        <w:t xml:space="preserve">demonstrates that the charging array, when operating as designed, </w:t>
      </w:r>
      <w:r w:rsidR="00DF02AA">
        <w:rPr>
          <w:rFonts w:eastAsia="MS Mincho"/>
        </w:rPr>
        <w:t>will simultaneously</w:t>
      </w:r>
      <w:r w:rsidR="00F323ED">
        <w:rPr>
          <w:rFonts w:eastAsia="MS Mincho"/>
        </w:rPr>
        <w:t xml:space="preserve"> charge four EVs, dispensing over 1,000 kW. (Tr. </w:t>
      </w:r>
      <w:r w:rsidR="00F52CE3">
        <w:rPr>
          <w:rFonts w:eastAsia="MS Mincho"/>
        </w:rPr>
        <w:t xml:space="preserve">40, 120, </w:t>
      </w:r>
      <w:r w:rsidR="00F323ED">
        <w:rPr>
          <w:rFonts w:eastAsia="MS Mincho"/>
        </w:rPr>
        <w:t>183</w:t>
      </w:r>
      <w:r w:rsidR="00F52CE3">
        <w:rPr>
          <w:rFonts w:eastAsia="MS Mincho"/>
        </w:rPr>
        <w:t>, 235</w:t>
      </w:r>
      <w:r w:rsidR="00E43E59">
        <w:rPr>
          <w:rFonts w:eastAsia="MS Mincho"/>
        </w:rPr>
        <w:t>.</w:t>
      </w:r>
      <w:r w:rsidR="00F323ED">
        <w:rPr>
          <w:rFonts w:eastAsia="MS Mincho"/>
        </w:rPr>
        <w:t>)</w:t>
      </w:r>
      <w:r w:rsidR="000572BC">
        <w:rPr>
          <w:rFonts w:eastAsia="MS Mincho"/>
        </w:rPr>
        <w:t xml:space="preserve"> Moreover, expert testimony from Dr. Mat</w:t>
      </w:r>
      <w:r w:rsidR="00E43E59">
        <w:rPr>
          <w:rFonts w:eastAsia="MS Mincho"/>
        </w:rPr>
        <w:t>t</w:t>
      </w:r>
      <w:r w:rsidR="000572BC">
        <w:rPr>
          <w:rFonts w:eastAsia="MS Mincho"/>
        </w:rPr>
        <w:t>hews</w:t>
      </w:r>
      <w:r w:rsidR="00E62F30">
        <w:rPr>
          <w:rFonts w:eastAsia="MS Mincho"/>
        </w:rPr>
        <w:t xml:space="preserve">, who has conducted numerous </w:t>
      </w:r>
      <w:r w:rsidR="009D6852">
        <w:rPr>
          <w:rFonts w:eastAsia="MS Mincho"/>
        </w:rPr>
        <w:t>load counts</w:t>
      </w:r>
      <w:r w:rsidR="00E62F30">
        <w:rPr>
          <w:rFonts w:eastAsia="MS Mincho"/>
        </w:rPr>
        <w:t xml:space="preserve"> applying the Territorial Act</w:t>
      </w:r>
      <w:r w:rsidR="00E43E59">
        <w:rPr>
          <w:rFonts w:eastAsia="MS Mincho"/>
        </w:rPr>
        <w:t>’s</w:t>
      </w:r>
      <w:r w:rsidR="00E62F30">
        <w:rPr>
          <w:rFonts w:eastAsia="MS Mincho"/>
        </w:rPr>
        <w:t xml:space="preserve"> connected load standard, inspected the Premises as constructed </w:t>
      </w:r>
      <w:r w:rsidR="00565134">
        <w:rPr>
          <w:rFonts w:eastAsia="MS Mincho"/>
        </w:rPr>
        <w:t>as well as the Premises’</w:t>
      </w:r>
      <w:r w:rsidR="006F56F9">
        <w:rPr>
          <w:rFonts w:eastAsia="MS Mincho"/>
        </w:rPr>
        <w:t xml:space="preserve"> </w:t>
      </w:r>
      <w:r w:rsidR="000572BC">
        <w:rPr>
          <w:rFonts w:eastAsia="MS Mincho"/>
        </w:rPr>
        <w:t xml:space="preserve">electrical plans </w:t>
      </w:r>
      <w:r w:rsidR="00565134">
        <w:rPr>
          <w:rFonts w:eastAsia="MS Mincho"/>
        </w:rPr>
        <w:t>in rendering an</w:t>
      </w:r>
      <w:r w:rsidR="00E62F30">
        <w:rPr>
          <w:rFonts w:eastAsia="MS Mincho"/>
        </w:rPr>
        <w:t xml:space="preserve"> independent profession</w:t>
      </w:r>
      <w:r w:rsidR="006F56F9">
        <w:rPr>
          <w:rFonts w:eastAsia="MS Mincho"/>
        </w:rPr>
        <w:t>al</w:t>
      </w:r>
      <w:r w:rsidR="00E62F30">
        <w:rPr>
          <w:rFonts w:eastAsia="MS Mincho"/>
        </w:rPr>
        <w:t xml:space="preserve"> </w:t>
      </w:r>
      <w:r w:rsidR="008D1DCB">
        <w:rPr>
          <w:rFonts w:eastAsia="MS Mincho"/>
        </w:rPr>
        <w:t xml:space="preserve">engineering </w:t>
      </w:r>
      <w:r w:rsidR="00E62F30">
        <w:rPr>
          <w:rFonts w:eastAsia="MS Mincho"/>
        </w:rPr>
        <w:t xml:space="preserve">opinion </w:t>
      </w:r>
      <w:r w:rsidR="00565134">
        <w:rPr>
          <w:rFonts w:eastAsia="MS Mincho"/>
        </w:rPr>
        <w:t xml:space="preserve">that </w:t>
      </w:r>
      <w:r w:rsidR="00E62F30">
        <w:rPr>
          <w:rFonts w:eastAsia="MS Mincho"/>
        </w:rPr>
        <w:t>the</w:t>
      </w:r>
      <w:r w:rsidR="00DC58E1">
        <w:rPr>
          <w:rFonts w:eastAsia="MS Mincho"/>
        </w:rPr>
        <w:t xml:space="preserve"> </w:t>
      </w:r>
      <w:r w:rsidR="000572BC">
        <w:rPr>
          <w:rFonts w:eastAsia="MS Mincho"/>
        </w:rPr>
        <w:t>connected load</w:t>
      </w:r>
      <w:r w:rsidR="00E62F30">
        <w:rPr>
          <w:rFonts w:eastAsia="MS Mincho"/>
        </w:rPr>
        <w:t xml:space="preserve"> of the Premises</w:t>
      </w:r>
      <w:r w:rsidR="00DC58E1">
        <w:rPr>
          <w:rFonts w:eastAsia="MS Mincho"/>
        </w:rPr>
        <w:t xml:space="preserve"> </w:t>
      </w:r>
      <w:r w:rsidR="00570E75">
        <w:rPr>
          <w:rFonts w:eastAsia="MS Mincho"/>
        </w:rPr>
        <w:t>is</w:t>
      </w:r>
      <w:r w:rsidR="000572BC">
        <w:rPr>
          <w:rFonts w:eastAsia="MS Mincho"/>
        </w:rPr>
        <w:t xml:space="preserve"> in ex</w:t>
      </w:r>
      <w:r w:rsidR="00DE3BC6">
        <w:rPr>
          <w:rFonts w:eastAsia="MS Mincho"/>
        </w:rPr>
        <w:t>c</w:t>
      </w:r>
      <w:r w:rsidR="000572BC">
        <w:rPr>
          <w:rFonts w:eastAsia="MS Mincho"/>
        </w:rPr>
        <w:t>ess of 900</w:t>
      </w:r>
      <w:r w:rsidR="00E8398B">
        <w:rPr>
          <w:rFonts w:eastAsia="MS Mincho"/>
        </w:rPr>
        <w:t xml:space="preserve"> </w:t>
      </w:r>
      <w:r w:rsidR="000572BC">
        <w:rPr>
          <w:rFonts w:eastAsia="MS Mincho"/>
        </w:rPr>
        <w:t>kW.</w:t>
      </w:r>
      <w:r w:rsidR="00E43E59">
        <w:rPr>
          <w:rFonts w:eastAsia="MS Mincho"/>
        </w:rPr>
        <w:t xml:space="preserve"> </w:t>
      </w:r>
      <w:r w:rsidR="00C622EA" w:rsidRPr="008D1DCB">
        <w:rPr>
          <w:rFonts w:eastAsia="MS Mincho"/>
        </w:rPr>
        <w:t xml:space="preserve">(Tr. </w:t>
      </w:r>
      <w:r w:rsidR="008D1DCB" w:rsidRPr="000E5E65">
        <w:rPr>
          <w:rFonts w:eastAsia="MS Mincho"/>
        </w:rPr>
        <w:t>145-46</w:t>
      </w:r>
      <w:r w:rsidR="00E43E59">
        <w:rPr>
          <w:rFonts w:eastAsia="MS Mincho"/>
        </w:rPr>
        <w:t>.</w:t>
      </w:r>
      <w:r w:rsidR="00C622EA" w:rsidRPr="008D1DCB">
        <w:rPr>
          <w:rFonts w:eastAsia="MS Mincho"/>
        </w:rPr>
        <w:t>)</w:t>
      </w:r>
      <w:r w:rsidR="00B309AC">
        <w:rPr>
          <w:rFonts w:eastAsia="MS Mincho"/>
        </w:rPr>
        <w:t xml:space="preserve"> </w:t>
      </w:r>
    </w:p>
    <w:p w14:paraId="431FE4B9" w14:textId="7F2882C1" w:rsidR="008436A9" w:rsidRDefault="00D3458B" w:rsidP="004F45FE">
      <w:pPr>
        <w:spacing w:line="480" w:lineRule="auto"/>
        <w:ind w:firstLine="720"/>
        <w:jc w:val="both"/>
        <w:rPr>
          <w:rFonts w:eastAsia="MS Mincho"/>
        </w:rPr>
      </w:pPr>
      <w:r>
        <w:rPr>
          <w:rFonts w:eastAsia="MS Mincho"/>
        </w:rPr>
        <w:t>Contrary to Sawnee EMC’s</w:t>
      </w:r>
      <w:r w:rsidR="00F772EA">
        <w:rPr>
          <w:rFonts w:eastAsia="MS Mincho"/>
        </w:rPr>
        <w:t xml:space="preserve"> assertions,</w:t>
      </w:r>
      <w:r>
        <w:rPr>
          <w:rFonts w:eastAsia="MS Mincho"/>
        </w:rPr>
        <w:t xml:space="preserve"> the </w:t>
      </w:r>
      <w:r w:rsidR="004F68E7">
        <w:rPr>
          <w:rFonts w:eastAsia="MS Mincho"/>
        </w:rPr>
        <w:t>Hearing Officer was not obligated to adopt Sawnee EMC’s witness Mr. Mara</w:t>
      </w:r>
      <w:r w:rsidR="00926381">
        <w:rPr>
          <w:rFonts w:eastAsia="MS Mincho"/>
        </w:rPr>
        <w:t>’s proposed exclusion of the</w:t>
      </w:r>
      <w:r w:rsidR="004F68E7">
        <w:rPr>
          <w:rFonts w:eastAsia="MS Mincho"/>
        </w:rPr>
        <w:t xml:space="preserve"> nameplate rating of the six </w:t>
      </w:r>
      <w:r w:rsidR="00561EB6">
        <w:rPr>
          <w:rFonts w:eastAsia="MS Mincho"/>
        </w:rPr>
        <w:t xml:space="preserve">Power </w:t>
      </w:r>
      <w:r w:rsidR="00561EB6">
        <w:rPr>
          <w:rFonts w:eastAsia="MS Mincho"/>
        </w:rPr>
        <w:lastRenderedPageBreak/>
        <w:t xml:space="preserve">Cabinets. Instead, </w:t>
      </w:r>
      <w:r w:rsidR="00F772EA">
        <w:rPr>
          <w:rFonts w:eastAsia="MS Mincho"/>
        </w:rPr>
        <w:t>her</w:t>
      </w:r>
      <w:r w:rsidR="00561EB6">
        <w:rPr>
          <w:rFonts w:eastAsia="MS Mincho"/>
        </w:rPr>
        <w:t xml:space="preserve"> Initial </w:t>
      </w:r>
      <w:r w:rsidR="00561FC3">
        <w:rPr>
          <w:rFonts w:eastAsia="MS Mincho"/>
        </w:rPr>
        <w:t xml:space="preserve">Decision </w:t>
      </w:r>
      <w:r w:rsidR="00CF4698">
        <w:rPr>
          <w:rFonts w:eastAsia="MS Mincho"/>
        </w:rPr>
        <w:t xml:space="preserve">appropriately </w:t>
      </w:r>
      <w:r w:rsidR="00561FC3">
        <w:rPr>
          <w:rFonts w:eastAsia="MS Mincho"/>
        </w:rPr>
        <w:t xml:space="preserve">applies the statutory requirement to determine “connected load” at the time of the </w:t>
      </w:r>
      <w:r w:rsidR="00CF4698">
        <w:rPr>
          <w:rFonts w:eastAsia="MS Mincho"/>
        </w:rPr>
        <w:t>P</w:t>
      </w:r>
      <w:r w:rsidR="005C4B62" w:rsidRPr="005C4B62">
        <w:rPr>
          <w:rFonts w:eastAsia="MS Mincho"/>
        </w:rPr>
        <w:t>remise’s “initial full operation</w:t>
      </w:r>
      <w:r w:rsidR="0075311C">
        <w:rPr>
          <w:rFonts w:eastAsia="MS Mincho"/>
        </w:rPr>
        <w:t>.</w:t>
      </w:r>
      <w:r w:rsidR="005C4B62">
        <w:rPr>
          <w:rFonts w:eastAsia="MS Mincho"/>
        </w:rPr>
        <w:t>”</w:t>
      </w:r>
      <w:r w:rsidR="0075311C">
        <w:rPr>
          <w:rFonts w:eastAsia="MS Mincho"/>
        </w:rPr>
        <w:t xml:space="preserve"> </w:t>
      </w:r>
    </w:p>
    <w:p w14:paraId="4EEE86E3" w14:textId="778D073D" w:rsidR="00FA152B" w:rsidRDefault="00CF4698" w:rsidP="004F45FE">
      <w:pPr>
        <w:spacing w:line="480" w:lineRule="auto"/>
        <w:ind w:firstLine="720"/>
        <w:jc w:val="both"/>
        <w:rPr>
          <w:rFonts w:eastAsia="MS Mincho"/>
        </w:rPr>
      </w:pPr>
      <w:r w:rsidRPr="00CF4698">
        <w:rPr>
          <w:rFonts w:eastAsia="MS Mincho"/>
        </w:rPr>
        <w:t>No Commission precedent supports excluding the nameplate rating of the electric power consuming equipment (the power cabinets</w:t>
      </w:r>
      <w:r w:rsidR="0089431D">
        <w:rPr>
          <w:rFonts w:eastAsia="MS Mincho"/>
        </w:rPr>
        <w:t xml:space="preserve"> and rectifiers</w:t>
      </w:r>
      <w:r w:rsidRPr="00CF4698">
        <w:rPr>
          <w:rFonts w:eastAsia="MS Mincho"/>
        </w:rPr>
        <w:t>) that have been hard-wired to the Premises since</w:t>
      </w:r>
      <w:r w:rsidR="00B13F43">
        <w:rPr>
          <w:rFonts w:eastAsia="MS Mincho"/>
        </w:rPr>
        <w:t xml:space="preserve"> </w:t>
      </w:r>
      <w:r w:rsidRPr="00CF4698">
        <w:rPr>
          <w:rFonts w:eastAsia="MS Mincho"/>
        </w:rPr>
        <w:t>day one and must operate in order for Electrify America to consume retail electric service and, in turn, provide its service of charging EVs for drivers.</w:t>
      </w:r>
      <w:r>
        <w:rPr>
          <w:rFonts w:eastAsia="MS Mincho"/>
        </w:rPr>
        <w:t xml:space="preserve"> </w:t>
      </w:r>
      <w:r w:rsidR="002707A2">
        <w:rPr>
          <w:rFonts w:eastAsia="MS Mincho"/>
        </w:rPr>
        <w:t xml:space="preserve">As the Initial Decision </w:t>
      </w:r>
      <w:r w:rsidR="00205BB3">
        <w:rPr>
          <w:rFonts w:eastAsia="MS Mincho"/>
        </w:rPr>
        <w:t xml:space="preserve">correctly </w:t>
      </w:r>
      <w:r w:rsidR="002707A2">
        <w:rPr>
          <w:rFonts w:eastAsia="MS Mincho"/>
        </w:rPr>
        <w:t>notes</w:t>
      </w:r>
      <w:r w:rsidR="00205BB3">
        <w:rPr>
          <w:rFonts w:eastAsia="MS Mincho"/>
        </w:rPr>
        <w:t>,</w:t>
      </w:r>
      <w:r w:rsidR="002707A2">
        <w:rPr>
          <w:rFonts w:eastAsia="MS Mincho"/>
        </w:rPr>
        <w:t xml:space="preserve"> the Commission has stated </w:t>
      </w:r>
      <w:r w:rsidR="002707A2" w:rsidRPr="002707A2">
        <w:rPr>
          <w:rFonts w:eastAsia="MS Mincho"/>
        </w:rPr>
        <w:t xml:space="preserve">“actual close physical inspection and name-plate data are generally </w:t>
      </w:r>
      <w:r w:rsidR="002707A2" w:rsidRPr="002707A2">
        <w:rPr>
          <w:rFonts w:eastAsia="MS Mincho"/>
          <w:u w:val="single"/>
        </w:rPr>
        <w:t>always preferable</w:t>
      </w:r>
      <w:r w:rsidR="002707A2" w:rsidRPr="002707A2">
        <w:rPr>
          <w:rFonts w:eastAsia="MS Mincho"/>
        </w:rPr>
        <w:t xml:space="preserve"> and </w:t>
      </w:r>
      <w:r w:rsidR="002707A2" w:rsidRPr="002707A2">
        <w:rPr>
          <w:rFonts w:eastAsia="MS Mincho"/>
          <w:u w:val="single"/>
        </w:rPr>
        <w:t>usually constitute the best evidence</w:t>
      </w:r>
      <w:r w:rsidR="002707A2" w:rsidRPr="002707A2">
        <w:rPr>
          <w:rFonts w:eastAsia="MS Mincho"/>
        </w:rPr>
        <w:t xml:space="preserve"> for calculation of connected load.” </w:t>
      </w:r>
      <w:r w:rsidR="00074F51">
        <w:rPr>
          <w:rFonts w:eastAsia="MS Mincho"/>
        </w:rPr>
        <w:t>(</w:t>
      </w:r>
      <w:r w:rsidR="00074F51" w:rsidRPr="009A3EC9">
        <w:rPr>
          <w:rFonts w:eastAsia="MS Mincho"/>
          <w:i/>
          <w:iCs/>
        </w:rPr>
        <w:t>Initial Decision</w:t>
      </w:r>
      <w:r w:rsidR="00074F51">
        <w:rPr>
          <w:rFonts w:eastAsia="MS Mincho"/>
        </w:rPr>
        <w:t xml:space="preserve"> 10, quoting </w:t>
      </w:r>
      <w:r w:rsidR="00CB7F36" w:rsidRPr="00CB7F36">
        <w:rPr>
          <w:rFonts w:eastAsia="MS Mincho"/>
          <w:i/>
          <w:iCs/>
        </w:rPr>
        <w:t>Georgia Power Co. vs. Sumter County EMC</w:t>
      </w:r>
      <w:r w:rsidR="00CB7F36" w:rsidRPr="00CB7F36">
        <w:rPr>
          <w:rFonts w:eastAsia="MS Mincho"/>
        </w:rPr>
        <w:t xml:space="preserve">, </w:t>
      </w:r>
      <w:proofErr w:type="spellStart"/>
      <w:r w:rsidR="00CB7F36" w:rsidRPr="00CB7F36">
        <w:rPr>
          <w:rFonts w:eastAsia="MS Mincho"/>
        </w:rPr>
        <w:t>Dkt</w:t>
      </w:r>
      <w:proofErr w:type="spellEnd"/>
      <w:r w:rsidR="00CB7F36" w:rsidRPr="00CB7F36">
        <w:rPr>
          <w:rFonts w:eastAsia="MS Mincho"/>
        </w:rPr>
        <w:t>. No. 7821-U (Initial Decision, Aug. 3, 1998</w:t>
      </w:r>
      <w:r w:rsidR="00C6562D">
        <w:rPr>
          <w:rFonts w:eastAsia="MS Mincho"/>
        </w:rPr>
        <w:t>.</w:t>
      </w:r>
      <w:r w:rsidR="00E8398B">
        <w:rPr>
          <w:rFonts w:eastAsia="MS Mincho"/>
        </w:rPr>
        <w:t>)</w:t>
      </w:r>
      <w:r w:rsidR="00E43E59">
        <w:rPr>
          <w:rFonts w:eastAsia="MS Mincho"/>
        </w:rPr>
        <w:t xml:space="preserve"> </w:t>
      </w:r>
      <w:r w:rsidR="008A37F0">
        <w:rPr>
          <w:rFonts w:eastAsia="MS Mincho"/>
        </w:rPr>
        <w:t xml:space="preserve">Applying this precedent, </w:t>
      </w:r>
      <w:r w:rsidR="004A2592" w:rsidRPr="00131659">
        <w:rPr>
          <w:rFonts w:eastAsia="MS Mincho"/>
        </w:rPr>
        <w:t>the Hearing Officer properly found that</w:t>
      </w:r>
      <w:r w:rsidR="002C1C1E">
        <w:rPr>
          <w:rFonts w:eastAsia="MS Mincho"/>
        </w:rPr>
        <w:t xml:space="preserve"> the </w:t>
      </w:r>
      <w:r w:rsidR="008A37F0">
        <w:rPr>
          <w:rFonts w:eastAsia="MS Mincho"/>
        </w:rPr>
        <w:t xml:space="preserve">record </w:t>
      </w:r>
      <w:r w:rsidR="002C1C1E">
        <w:rPr>
          <w:rFonts w:eastAsia="MS Mincho"/>
        </w:rPr>
        <w:t>evidence establish</w:t>
      </w:r>
      <w:r w:rsidR="00E8398B">
        <w:rPr>
          <w:rFonts w:eastAsia="MS Mincho"/>
        </w:rPr>
        <w:t>ed</w:t>
      </w:r>
      <w:r w:rsidR="002C1C1E">
        <w:rPr>
          <w:rFonts w:eastAsia="MS Mincho"/>
        </w:rPr>
        <w:t xml:space="preserve"> </w:t>
      </w:r>
      <w:r w:rsidR="00E8398B">
        <w:rPr>
          <w:rFonts w:eastAsia="MS Mincho"/>
        </w:rPr>
        <w:t xml:space="preserve">that </w:t>
      </w:r>
      <w:r w:rsidR="002C1C1E">
        <w:rPr>
          <w:rFonts w:eastAsia="MS Mincho"/>
        </w:rPr>
        <w:t>the connected load</w:t>
      </w:r>
      <w:r w:rsidR="008A37F0">
        <w:rPr>
          <w:rFonts w:eastAsia="MS Mincho"/>
        </w:rPr>
        <w:t>, based on the nameplate rating of the connected electrical equipment,</w:t>
      </w:r>
      <w:r w:rsidR="00C6562D">
        <w:rPr>
          <w:rFonts w:eastAsia="MS Mincho"/>
        </w:rPr>
        <w:t xml:space="preserve"> exceed</w:t>
      </w:r>
      <w:r w:rsidR="00E8398B">
        <w:rPr>
          <w:rFonts w:eastAsia="MS Mincho"/>
        </w:rPr>
        <w:t>s</w:t>
      </w:r>
      <w:r w:rsidR="00C6562D">
        <w:rPr>
          <w:rFonts w:eastAsia="MS Mincho"/>
        </w:rPr>
        <w:t xml:space="preserve"> 900</w:t>
      </w:r>
      <w:r w:rsidR="00E8398B">
        <w:rPr>
          <w:rFonts w:eastAsia="MS Mincho"/>
        </w:rPr>
        <w:t xml:space="preserve"> </w:t>
      </w:r>
      <w:r w:rsidR="00C6562D">
        <w:rPr>
          <w:rFonts w:eastAsia="MS Mincho"/>
        </w:rPr>
        <w:t>kW</w:t>
      </w:r>
      <w:r w:rsidR="008A37F0">
        <w:rPr>
          <w:rFonts w:eastAsia="MS Mincho"/>
        </w:rPr>
        <w:t xml:space="preserve"> at initial operation and met</w:t>
      </w:r>
      <w:r w:rsidR="002C1C1E">
        <w:rPr>
          <w:rFonts w:eastAsia="MS Mincho"/>
        </w:rPr>
        <w:t xml:space="preserve"> the burden of </w:t>
      </w:r>
      <w:r w:rsidR="00C6562D">
        <w:rPr>
          <w:rFonts w:eastAsia="MS Mincho"/>
        </w:rPr>
        <w:t xml:space="preserve">proof required by </w:t>
      </w:r>
      <w:r w:rsidR="008A37F0">
        <w:rPr>
          <w:rFonts w:eastAsia="MS Mincho"/>
        </w:rPr>
        <w:t>O.C.G.A. §46-3-8</w:t>
      </w:r>
      <w:r w:rsidR="00C6562D">
        <w:rPr>
          <w:rFonts w:eastAsia="MS Mincho"/>
        </w:rPr>
        <w:t>(a).</w:t>
      </w:r>
    </w:p>
    <w:p w14:paraId="06CC3761" w14:textId="601AAA1C" w:rsidR="0053663E" w:rsidRPr="00561C13" w:rsidRDefault="0053663E" w:rsidP="004F45FE">
      <w:pPr>
        <w:ind w:left="1496" w:hanging="748"/>
        <w:jc w:val="both"/>
        <w:rPr>
          <w:rFonts w:eastAsia="MS Mincho"/>
          <w:b/>
        </w:rPr>
      </w:pPr>
      <w:r w:rsidRPr="00561C13">
        <w:rPr>
          <w:rFonts w:eastAsia="MS Mincho"/>
          <w:b/>
        </w:rPr>
        <w:t>C.</w:t>
      </w:r>
      <w:r w:rsidRPr="00561C13">
        <w:rPr>
          <w:rFonts w:eastAsia="MS Mincho"/>
          <w:b/>
        </w:rPr>
        <w:tab/>
        <w:t xml:space="preserve">The Hearing Officer did not err in </w:t>
      </w:r>
      <w:r w:rsidR="00105CDE" w:rsidRPr="00561C13">
        <w:rPr>
          <w:rFonts w:eastAsia="MS Mincho"/>
          <w:b/>
        </w:rPr>
        <w:t>finding that</w:t>
      </w:r>
      <w:r w:rsidR="00561C13">
        <w:rPr>
          <w:rFonts w:eastAsia="MS Mincho"/>
          <w:b/>
        </w:rPr>
        <w:t xml:space="preserve"> </w:t>
      </w:r>
      <w:r w:rsidR="00CE76A8">
        <w:rPr>
          <w:rFonts w:eastAsia="MS Mincho"/>
          <w:b/>
        </w:rPr>
        <w:t>Electrify America is the</w:t>
      </w:r>
      <w:r w:rsidR="00BB2DAD">
        <w:rPr>
          <w:rFonts w:eastAsia="MS Mincho"/>
          <w:b/>
        </w:rPr>
        <w:t xml:space="preserve"> </w:t>
      </w:r>
      <w:r w:rsidR="00561C13">
        <w:rPr>
          <w:rFonts w:eastAsia="MS Mincho"/>
          <w:b/>
        </w:rPr>
        <w:t>only consumer</w:t>
      </w:r>
      <w:r w:rsidR="008A1A81">
        <w:rPr>
          <w:rFonts w:eastAsia="MS Mincho"/>
          <w:b/>
        </w:rPr>
        <w:t xml:space="preserve"> of retail electric </w:t>
      </w:r>
      <w:r w:rsidR="00D1286A">
        <w:rPr>
          <w:rFonts w:eastAsia="MS Mincho"/>
          <w:b/>
        </w:rPr>
        <w:t xml:space="preserve">service </w:t>
      </w:r>
      <w:r w:rsidR="00BB2DAD">
        <w:rPr>
          <w:rFonts w:eastAsia="MS Mincho"/>
          <w:b/>
        </w:rPr>
        <w:t>at</w:t>
      </w:r>
      <w:r w:rsidR="00D1286A">
        <w:rPr>
          <w:rFonts w:eastAsia="MS Mincho"/>
          <w:b/>
        </w:rPr>
        <w:t xml:space="preserve"> the Premises</w:t>
      </w:r>
      <w:r w:rsidR="00105CDE" w:rsidRPr="00561C13">
        <w:rPr>
          <w:rFonts w:eastAsia="MS Mincho"/>
          <w:b/>
        </w:rPr>
        <w:t>.</w:t>
      </w:r>
      <w:r w:rsidR="00DC58E1">
        <w:rPr>
          <w:rFonts w:eastAsia="MS Mincho"/>
          <w:b/>
        </w:rPr>
        <w:t xml:space="preserve"> </w:t>
      </w:r>
    </w:p>
    <w:p w14:paraId="637526C7" w14:textId="77777777" w:rsidR="0053663E" w:rsidRPr="0053663E" w:rsidRDefault="0053663E" w:rsidP="004F45FE">
      <w:pPr>
        <w:ind w:left="749"/>
        <w:jc w:val="both"/>
        <w:rPr>
          <w:rFonts w:eastAsia="MS Mincho"/>
          <w:highlight w:val="yellow"/>
        </w:rPr>
      </w:pPr>
    </w:p>
    <w:p w14:paraId="57FAEB83" w14:textId="73DC589C" w:rsidR="00CA36C3" w:rsidRPr="006F47B3" w:rsidRDefault="00BB2DAD" w:rsidP="004F45FE">
      <w:pPr>
        <w:spacing w:line="480" w:lineRule="auto"/>
        <w:ind w:right="10" w:firstLine="720"/>
        <w:jc w:val="both"/>
        <w:rPr>
          <w:rFonts w:eastAsia="MS Mincho"/>
        </w:rPr>
      </w:pPr>
      <w:r>
        <w:rPr>
          <w:rFonts w:eastAsia="MS Mincho"/>
        </w:rPr>
        <w:t>Based upon a</w:t>
      </w:r>
      <w:r w:rsidR="00CE76A8">
        <w:rPr>
          <w:rFonts w:eastAsia="MS Mincho"/>
        </w:rPr>
        <w:t xml:space="preserve"> careful examination of the</w:t>
      </w:r>
      <w:r>
        <w:rPr>
          <w:rFonts w:eastAsia="MS Mincho"/>
        </w:rPr>
        <w:t xml:space="preserve"> clear and uncontested record, t</w:t>
      </w:r>
      <w:r w:rsidR="008A1A81">
        <w:rPr>
          <w:rFonts w:eastAsia="MS Mincho"/>
        </w:rPr>
        <w:t xml:space="preserve">he Hearing Officer correctly found </w:t>
      </w:r>
      <w:r>
        <w:rPr>
          <w:rFonts w:eastAsia="MS Mincho"/>
        </w:rPr>
        <w:t>that</w:t>
      </w:r>
      <w:r w:rsidR="00DF02AA">
        <w:rPr>
          <w:rFonts w:eastAsia="MS Mincho"/>
        </w:rPr>
        <w:t xml:space="preserve"> the Premises is utilized by one consumer</w:t>
      </w:r>
      <w:r w:rsidR="008A1A81">
        <w:rPr>
          <w:rFonts w:eastAsia="MS Mincho"/>
        </w:rPr>
        <w:t xml:space="preserve"> of retail electric service</w:t>
      </w:r>
      <w:r w:rsidR="00DF02AA">
        <w:rPr>
          <w:rFonts w:eastAsia="MS Mincho"/>
        </w:rPr>
        <w:t>, Electrify America</w:t>
      </w:r>
      <w:r w:rsidR="00CE76A8">
        <w:rPr>
          <w:rFonts w:eastAsia="MS Mincho"/>
        </w:rPr>
        <w:t>.</w:t>
      </w:r>
      <w:r w:rsidR="00E2263C">
        <w:rPr>
          <w:rFonts w:eastAsia="MS Mincho"/>
        </w:rPr>
        <w:t xml:space="preserve"> </w:t>
      </w:r>
      <w:r w:rsidR="00F844C2">
        <w:rPr>
          <w:rFonts w:eastAsia="MS Mincho"/>
        </w:rPr>
        <w:t xml:space="preserve">In </w:t>
      </w:r>
      <w:r w:rsidR="00E2263C" w:rsidRPr="00EC05DF">
        <w:rPr>
          <w:rFonts w:eastAsia="MS Mincho"/>
          <w:i/>
          <w:iCs/>
        </w:rPr>
        <w:t xml:space="preserve">Sawnee Elec. </w:t>
      </w:r>
      <w:proofErr w:type="spellStart"/>
      <w:r w:rsidR="00E2263C" w:rsidRPr="00EC05DF">
        <w:rPr>
          <w:rFonts w:eastAsia="MS Mincho"/>
          <w:i/>
          <w:iCs/>
        </w:rPr>
        <w:t>Mbrshp</w:t>
      </w:r>
      <w:proofErr w:type="spellEnd"/>
      <w:r w:rsidR="00E2263C" w:rsidRPr="00EC05DF">
        <w:rPr>
          <w:rFonts w:eastAsia="MS Mincho"/>
          <w:i/>
          <w:iCs/>
        </w:rPr>
        <w:t>. Corp. v. Ga. Pub. Service Comm’n</w:t>
      </w:r>
      <w:r w:rsidR="00E2263C">
        <w:rPr>
          <w:rFonts w:eastAsia="MS Mincho"/>
          <w:i/>
          <w:iCs/>
        </w:rPr>
        <w:t>.</w:t>
      </w:r>
      <w:r w:rsidR="00EC05DF">
        <w:rPr>
          <w:rFonts w:eastAsia="MS Mincho"/>
        </w:rPr>
        <w:t>, t</w:t>
      </w:r>
      <w:r w:rsidR="00FB0888">
        <w:rPr>
          <w:rFonts w:eastAsia="MS Mincho"/>
        </w:rPr>
        <w:t xml:space="preserve">he </w:t>
      </w:r>
      <w:r w:rsidR="00CE76A8">
        <w:rPr>
          <w:rFonts w:eastAsia="MS Mincho"/>
        </w:rPr>
        <w:t xml:space="preserve">Georgia Supreme </w:t>
      </w:r>
      <w:r w:rsidR="00FB0888">
        <w:rPr>
          <w:rFonts w:eastAsia="MS Mincho"/>
        </w:rPr>
        <w:t xml:space="preserve">Court </w:t>
      </w:r>
      <w:r w:rsidR="00034A91">
        <w:rPr>
          <w:rFonts w:eastAsia="MS Mincho"/>
        </w:rPr>
        <w:t>considered application of the</w:t>
      </w:r>
      <w:r w:rsidR="00D30E8F">
        <w:rPr>
          <w:rFonts w:eastAsia="MS Mincho"/>
        </w:rPr>
        <w:t xml:space="preserve"> </w:t>
      </w:r>
      <w:r w:rsidR="00034A91">
        <w:rPr>
          <w:rFonts w:eastAsia="MS Mincho"/>
        </w:rPr>
        <w:t>large load exception to an apartment complex where the landlord measured the electric usage for the entire complex through a master meter and used an outside company to read separate meters at each apartment and</w:t>
      </w:r>
      <w:r w:rsidR="00CE76A8">
        <w:rPr>
          <w:rFonts w:eastAsia="MS Mincho"/>
        </w:rPr>
        <w:t xml:space="preserve"> then</w:t>
      </w:r>
      <w:r w:rsidR="00034A91">
        <w:rPr>
          <w:rFonts w:eastAsia="MS Mincho"/>
        </w:rPr>
        <w:t xml:space="preserve"> bill each tenant accordingly.</w:t>
      </w:r>
      <w:r w:rsidR="00E2263C">
        <w:rPr>
          <w:rFonts w:eastAsia="MS Mincho"/>
        </w:rPr>
        <w:t xml:space="preserve"> </w:t>
      </w:r>
      <w:r w:rsidR="00E2263C" w:rsidRPr="00E2263C">
        <w:rPr>
          <w:rFonts w:eastAsia="MS Mincho"/>
          <w:i/>
          <w:iCs/>
        </w:rPr>
        <w:t>Sawnee</w:t>
      </w:r>
      <w:r w:rsidR="00E2263C">
        <w:rPr>
          <w:rFonts w:eastAsia="MS Mincho"/>
        </w:rPr>
        <w:t>,</w:t>
      </w:r>
      <w:r w:rsidR="00034A91">
        <w:rPr>
          <w:rFonts w:eastAsia="MS Mincho"/>
        </w:rPr>
        <w:t xml:space="preserve"> </w:t>
      </w:r>
      <w:r w:rsidR="00034A91" w:rsidRPr="00EC05DF">
        <w:rPr>
          <w:rFonts w:eastAsia="MS Mincho"/>
        </w:rPr>
        <w:t>273 Ga. 702</w:t>
      </w:r>
      <w:r w:rsidR="00034A91">
        <w:rPr>
          <w:rFonts w:eastAsia="MS Mincho"/>
        </w:rPr>
        <w:t xml:space="preserve"> at 703. </w:t>
      </w:r>
      <w:r w:rsidR="00CE76A8">
        <w:rPr>
          <w:rFonts w:eastAsia="MS Mincho"/>
        </w:rPr>
        <w:t xml:space="preserve">In </w:t>
      </w:r>
      <w:r w:rsidR="00034A91" w:rsidRPr="00CA36C3">
        <w:rPr>
          <w:rFonts w:eastAsia="MS Mincho"/>
          <w:i/>
          <w:iCs/>
        </w:rPr>
        <w:t>Sawnee</w:t>
      </w:r>
      <w:r w:rsidR="00CE76A8">
        <w:rPr>
          <w:rFonts w:eastAsia="MS Mincho"/>
          <w:i/>
          <w:iCs/>
        </w:rPr>
        <w:t>,</w:t>
      </w:r>
      <w:r w:rsidR="00CE76A8">
        <w:rPr>
          <w:rFonts w:eastAsia="MS Mincho"/>
        </w:rPr>
        <w:t xml:space="preserve"> the Court</w:t>
      </w:r>
      <w:r w:rsidR="00034A91">
        <w:rPr>
          <w:rFonts w:eastAsia="MS Mincho"/>
        </w:rPr>
        <w:t xml:space="preserve"> </w:t>
      </w:r>
      <w:r w:rsidR="00FB0888">
        <w:rPr>
          <w:rFonts w:eastAsia="MS Mincho"/>
        </w:rPr>
        <w:t xml:space="preserve">provided a three-prong analysis for determining the applicability of the </w:t>
      </w:r>
      <w:r w:rsidR="00CE76A8">
        <w:rPr>
          <w:rFonts w:eastAsia="MS Mincho"/>
        </w:rPr>
        <w:t xml:space="preserve">large load </w:t>
      </w:r>
      <w:r w:rsidR="00FB0888">
        <w:rPr>
          <w:rFonts w:eastAsia="MS Mincho"/>
        </w:rPr>
        <w:t xml:space="preserve">exception: “whether the complex constitutes one or multiple </w:t>
      </w:r>
      <w:r w:rsidR="00FB0888">
        <w:rPr>
          <w:rFonts w:eastAsia="MS Mincho"/>
        </w:rPr>
        <w:lastRenderedPageBreak/>
        <w:t xml:space="preserve">‘premises,’ whether the premises is ‘utilized by one consumer,’ and whether service is provided to that consumer by means of a ‘single meter.’” </w:t>
      </w:r>
      <w:r w:rsidR="00034A91" w:rsidRPr="00034A91">
        <w:rPr>
          <w:rFonts w:eastAsia="MS Mincho"/>
          <w:i/>
          <w:iCs/>
        </w:rPr>
        <w:t>Id.</w:t>
      </w:r>
      <w:r w:rsidR="00034A91">
        <w:rPr>
          <w:rFonts w:eastAsia="MS Mincho"/>
        </w:rPr>
        <w:t xml:space="preserve"> at</w:t>
      </w:r>
      <w:r w:rsidR="00EC05DF">
        <w:rPr>
          <w:rFonts w:eastAsia="MS Mincho"/>
        </w:rPr>
        <w:t xml:space="preserve"> 704-05</w:t>
      </w:r>
      <w:r w:rsidR="00EC05DF" w:rsidRPr="00EC05DF">
        <w:rPr>
          <w:rFonts w:eastAsia="MS Mincho"/>
        </w:rPr>
        <w:t xml:space="preserve"> (2</w:t>
      </w:r>
      <w:r w:rsidR="00EC05DF">
        <w:rPr>
          <w:rFonts w:eastAsia="MS Mincho"/>
        </w:rPr>
        <w:t>001</w:t>
      </w:r>
      <w:r w:rsidR="00FB0888">
        <w:rPr>
          <w:rFonts w:eastAsia="MS Mincho"/>
        </w:rPr>
        <w:t>)</w:t>
      </w:r>
      <w:r w:rsidR="00EC05DF">
        <w:rPr>
          <w:rFonts w:eastAsia="MS Mincho"/>
        </w:rPr>
        <w:t xml:space="preserve">. </w:t>
      </w:r>
      <w:r w:rsidR="00034A91">
        <w:rPr>
          <w:rFonts w:eastAsia="MS Mincho"/>
        </w:rPr>
        <w:t>Further, the Court defined “one consumer” as “</w:t>
      </w:r>
      <w:r w:rsidR="00034A91" w:rsidRPr="00034A91">
        <w:rPr>
          <w:rFonts w:eastAsia="MS Mincho"/>
        </w:rPr>
        <w:t>the user of the final product and not a buyer for resale</w:t>
      </w:r>
      <w:r w:rsidR="00034A91">
        <w:rPr>
          <w:rFonts w:eastAsia="MS Mincho"/>
        </w:rPr>
        <w:t xml:space="preserve">.” </w:t>
      </w:r>
      <w:r w:rsidR="00034A91">
        <w:rPr>
          <w:rFonts w:eastAsia="MS Mincho"/>
          <w:i/>
          <w:iCs/>
        </w:rPr>
        <w:t>Id.</w:t>
      </w:r>
      <w:r w:rsidR="00034A91">
        <w:rPr>
          <w:rFonts w:eastAsia="MS Mincho"/>
        </w:rPr>
        <w:t xml:space="preserve"> at 705. </w:t>
      </w:r>
      <w:r w:rsidR="00D1286A">
        <w:rPr>
          <w:rFonts w:eastAsia="MS Mincho"/>
        </w:rPr>
        <w:t xml:space="preserve">The final product </w:t>
      </w:r>
      <w:r w:rsidR="00CE76A8">
        <w:rPr>
          <w:rFonts w:eastAsia="MS Mincho"/>
        </w:rPr>
        <w:t xml:space="preserve">addressed by the Court </w:t>
      </w:r>
      <w:r w:rsidR="00205BB3">
        <w:rPr>
          <w:rFonts w:eastAsia="MS Mincho"/>
        </w:rPr>
        <w:t xml:space="preserve">in </w:t>
      </w:r>
      <w:r w:rsidR="00162197" w:rsidRPr="00E84C63">
        <w:rPr>
          <w:rFonts w:eastAsia="MS Mincho"/>
          <w:i/>
          <w:iCs/>
        </w:rPr>
        <w:t>Sawnee EMC</w:t>
      </w:r>
      <w:r w:rsidR="00D1286A">
        <w:rPr>
          <w:rFonts w:eastAsia="MS Mincho"/>
        </w:rPr>
        <w:t xml:space="preserve"> is retail electric service, not the</w:t>
      </w:r>
      <w:r w:rsidR="00CE76A8">
        <w:rPr>
          <w:rFonts w:eastAsia="MS Mincho"/>
        </w:rPr>
        <w:t xml:space="preserve"> different</w:t>
      </w:r>
      <w:r w:rsidR="00D1286A">
        <w:rPr>
          <w:rFonts w:eastAsia="MS Mincho"/>
        </w:rPr>
        <w:t xml:space="preserve"> goods or services </w:t>
      </w:r>
      <w:r w:rsidR="00CE76A8">
        <w:rPr>
          <w:rFonts w:eastAsia="MS Mincho"/>
        </w:rPr>
        <w:t xml:space="preserve">that a </w:t>
      </w:r>
      <w:r w:rsidR="00205BB3">
        <w:rPr>
          <w:rFonts w:eastAsia="MS Mincho"/>
        </w:rPr>
        <w:t xml:space="preserve">retail electric </w:t>
      </w:r>
      <w:r w:rsidR="00D1286A">
        <w:rPr>
          <w:rFonts w:eastAsia="MS Mincho"/>
        </w:rPr>
        <w:t xml:space="preserve">customer </w:t>
      </w:r>
      <w:r w:rsidR="00CE76A8">
        <w:rPr>
          <w:rFonts w:eastAsia="MS Mincho"/>
        </w:rPr>
        <w:t>subsequently</w:t>
      </w:r>
      <w:r w:rsidR="00D1286A">
        <w:rPr>
          <w:rFonts w:eastAsia="MS Mincho"/>
        </w:rPr>
        <w:t xml:space="preserve"> </w:t>
      </w:r>
      <w:r w:rsidR="00162197">
        <w:rPr>
          <w:rFonts w:eastAsia="MS Mincho"/>
        </w:rPr>
        <w:t>provides</w:t>
      </w:r>
      <w:r w:rsidR="00D30E8F">
        <w:rPr>
          <w:rFonts w:eastAsia="MS Mincho"/>
        </w:rPr>
        <w:t xml:space="preserve"> </w:t>
      </w:r>
      <w:r w:rsidR="00205BB3">
        <w:rPr>
          <w:rFonts w:eastAsia="MS Mincho"/>
        </w:rPr>
        <w:t xml:space="preserve">to </w:t>
      </w:r>
      <w:r w:rsidR="00D30E8F">
        <w:rPr>
          <w:rFonts w:eastAsia="MS Mincho"/>
        </w:rPr>
        <w:t>others</w:t>
      </w:r>
      <w:r w:rsidR="00D1286A">
        <w:rPr>
          <w:rFonts w:eastAsia="MS Mincho"/>
        </w:rPr>
        <w:t xml:space="preserve">. </w:t>
      </w:r>
      <w:r w:rsidR="00300953">
        <w:rPr>
          <w:rFonts w:eastAsia="MS Mincho"/>
        </w:rPr>
        <w:t>Ruling against the complex</w:t>
      </w:r>
      <w:r w:rsidR="00D30E8F">
        <w:rPr>
          <w:rFonts w:eastAsia="MS Mincho"/>
        </w:rPr>
        <w:t xml:space="preserve"> </w:t>
      </w:r>
      <w:r w:rsidR="003618B0">
        <w:rPr>
          <w:rFonts w:eastAsia="MS Mincho"/>
        </w:rPr>
        <w:t>being eligible for the large load exception</w:t>
      </w:r>
      <w:r w:rsidR="00300953">
        <w:rPr>
          <w:rFonts w:eastAsia="MS Mincho"/>
        </w:rPr>
        <w:t>, the Court</w:t>
      </w:r>
      <w:r w:rsidR="00F347B2">
        <w:rPr>
          <w:rFonts w:eastAsia="MS Mincho"/>
        </w:rPr>
        <w:t xml:space="preserve"> in the </w:t>
      </w:r>
      <w:r w:rsidR="00F347B2">
        <w:rPr>
          <w:rFonts w:eastAsia="MS Mincho"/>
          <w:i/>
          <w:iCs/>
        </w:rPr>
        <w:t xml:space="preserve">Sawnee </w:t>
      </w:r>
      <w:r w:rsidR="00F347B2">
        <w:rPr>
          <w:rFonts w:eastAsia="MS Mincho"/>
        </w:rPr>
        <w:t>case</w:t>
      </w:r>
      <w:r w:rsidR="00300953">
        <w:rPr>
          <w:rFonts w:eastAsia="MS Mincho"/>
        </w:rPr>
        <w:t xml:space="preserve"> reasoned that allowing the </w:t>
      </w:r>
      <w:r w:rsidR="002E3E60">
        <w:rPr>
          <w:rFonts w:eastAsia="MS Mincho"/>
        </w:rPr>
        <w:t xml:space="preserve">apartment </w:t>
      </w:r>
      <w:r w:rsidR="00300953">
        <w:rPr>
          <w:rFonts w:eastAsia="MS Mincho"/>
        </w:rPr>
        <w:t>complex</w:t>
      </w:r>
      <w:r w:rsidR="002E3E60">
        <w:rPr>
          <w:rFonts w:eastAsia="MS Mincho"/>
        </w:rPr>
        <w:t>’s landlord</w:t>
      </w:r>
      <w:r w:rsidR="00300953">
        <w:rPr>
          <w:rFonts w:eastAsia="MS Mincho"/>
        </w:rPr>
        <w:t xml:space="preserve"> to take advan</w:t>
      </w:r>
      <w:r w:rsidR="006F47B3">
        <w:rPr>
          <w:rFonts w:eastAsia="MS Mincho"/>
        </w:rPr>
        <w:t>tage of the</w:t>
      </w:r>
      <w:r w:rsidR="00F347B2">
        <w:rPr>
          <w:rFonts w:eastAsia="MS Mincho"/>
        </w:rPr>
        <w:t xml:space="preserve"> large load</w:t>
      </w:r>
      <w:r w:rsidR="006F47B3">
        <w:rPr>
          <w:rFonts w:eastAsia="MS Mincho"/>
        </w:rPr>
        <w:t xml:space="preserve"> exception </w:t>
      </w:r>
      <w:r w:rsidR="00034A91">
        <w:rPr>
          <w:rFonts w:eastAsia="MS Mincho"/>
        </w:rPr>
        <w:t xml:space="preserve">by </w:t>
      </w:r>
      <w:r w:rsidR="00205BB3">
        <w:rPr>
          <w:rFonts w:eastAsia="MS Mincho"/>
        </w:rPr>
        <w:t>simply</w:t>
      </w:r>
      <w:r w:rsidR="00162197">
        <w:rPr>
          <w:rFonts w:eastAsia="MS Mincho"/>
        </w:rPr>
        <w:t xml:space="preserve"> </w:t>
      </w:r>
      <w:r w:rsidR="00D1286A">
        <w:rPr>
          <w:rFonts w:eastAsia="MS Mincho"/>
        </w:rPr>
        <w:t>submetering retail electric service</w:t>
      </w:r>
      <w:r w:rsidR="00205BB3">
        <w:rPr>
          <w:rFonts w:eastAsia="MS Mincho"/>
        </w:rPr>
        <w:t xml:space="preserve"> and passing through retail electric service to </w:t>
      </w:r>
      <w:r w:rsidR="002E3E60">
        <w:rPr>
          <w:rFonts w:eastAsia="MS Mincho"/>
        </w:rPr>
        <w:t>tenants</w:t>
      </w:r>
      <w:r w:rsidR="00D1286A">
        <w:rPr>
          <w:rFonts w:eastAsia="MS Mincho"/>
        </w:rPr>
        <w:t xml:space="preserve"> </w:t>
      </w:r>
      <w:r w:rsidR="006F47B3">
        <w:rPr>
          <w:rFonts w:eastAsia="MS Mincho"/>
        </w:rPr>
        <w:t xml:space="preserve">would fly in the face of the obvious intent of the legislature. </w:t>
      </w:r>
      <w:r w:rsidR="006F47B3">
        <w:rPr>
          <w:rFonts w:eastAsia="MS Mincho"/>
          <w:i/>
          <w:iCs/>
        </w:rPr>
        <w:t xml:space="preserve">Id. </w:t>
      </w:r>
      <w:r w:rsidR="006F47B3">
        <w:rPr>
          <w:rFonts w:eastAsia="MS Mincho"/>
        </w:rPr>
        <w:t>at 707.</w:t>
      </w:r>
    </w:p>
    <w:p w14:paraId="2B0C9902" w14:textId="709B620B" w:rsidR="00D5206A" w:rsidRDefault="00F347B2" w:rsidP="009A3EC9">
      <w:pPr>
        <w:spacing w:line="480" w:lineRule="auto"/>
        <w:ind w:firstLine="720"/>
        <w:jc w:val="both"/>
        <w:rPr>
          <w:rFonts w:eastAsia="MS Mincho"/>
        </w:rPr>
      </w:pPr>
      <w:r w:rsidRPr="00F347B2">
        <w:rPr>
          <w:rFonts w:eastAsia="MS Mincho"/>
        </w:rPr>
        <w:t xml:space="preserve">Applying the </w:t>
      </w:r>
      <w:r w:rsidRPr="00F347B2">
        <w:rPr>
          <w:rFonts w:eastAsia="MS Mincho"/>
          <w:i/>
          <w:iCs/>
        </w:rPr>
        <w:t>Sawnee</w:t>
      </w:r>
      <w:r w:rsidRPr="00F347B2">
        <w:rPr>
          <w:rFonts w:eastAsia="MS Mincho"/>
        </w:rPr>
        <w:t xml:space="preserve"> test to the present case validates the Hearing Officer’s finding that there is only one Premises and one</w:t>
      </w:r>
      <w:r w:rsidR="00B13F43">
        <w:rPr>
          <w:rFonts w:eastAsia="MS Mincho"/>
        </w:rPr>
        <w:t xml:space="preserve"> </w:t>
      </w:r>
      <w:r w:rsidRPr="00F347B2">
        <w:rPr>
          <w:rFonts w:eastAsia="MS Mincho"/>
        </w:rPr>
        <w:t>consumer of retail electric service</w:t>
      </w:r>
      <w:r w:rsidR="00B13F43">
        <w:rPr>
          <w:rFonts w:eastAsia="MS Mincho"/>
        </w:rPr>
        <w:t xml:space="preserve"> </w:t>
      </w:r>
      <w:r w:rsidRPr="00F347B2">
        <w:rPr>
          <w:rFonts w:eastAsia="MS Mincho"/>
        </w:rPr>
        <w:t xml:space="preserve">– Electrify America. The Premises (Electrify America’s fixed EV charging station consisting of hard wired equipment) falls squarely within the statutory definition of </w:t>
      </w:r>
      <w:r w:rsidRPr="00F347B2">
        <w:rPr>
          <w:rFonts w:eastAsia="MS Mincho"/>
          <w:i/>
          <w:iCs/>
        </w:rPr>
        <w:t>Premises</w:t>
      </w:r>
      <w:r w:rsidRPr="00F347B2">
        <w:rPr>
          <w:rFonts w:eastAsia="MS Mincho"/>
        </w:rPr>
        <w:t xml:space="preserve">: “the building, structure, or facility to which electricity is being or is to be furnished.” O.C.G.A. 46-3-3(6) (1973). It does not include the inherently mobile EV of drivers who have no connection to Georgia Power or the provision of retail electric service at the Premises. Moreover, unlike with the apartment residents in the </w:t>
      </w:r>
      <w:r w:rsidRPr="00F347B2">
        <w:rPr>
          <w:rFonts w:eastAsia="MS Mincho"/>
          <w:i/>
          <w:iCs/>
        </w:rPr>
        <w:t>Sawnee EMC</w:t>
      </w:r>
      <w:r w:rsidRPr="00F347B2">
        <w:rPr>
          <w:rFonts w:eastAsia="MS Mincho"/>
        </w:rPr>
        <w:t xml:space="preserve"> case, who lived at separately metered, fixed premises within an apartment complex, all parties in this case agree that there is but one Premises in dispute, which is served through a single meter, as Sawnee’s expert confirmed. (Tr. 88.)</w:t>
      </w:r>
      <w:r w:rsidR="00FD0439">
        <w:rPr>
          <w:rFonts w:eastAsia="MS Mincho"/>
        </w:rPr>
        <w:t xml:space="preserve"> Further, because the landlord in </w:t>
      </w:r>
      <w:proofErr w:type="spellStart"/>
      <w:r w:rsidR="00FD0439">
        <w:rPr>
          <w:rFonts w:eastAsia="MS Mincho"/>
          <w:i/>
          <w:iCs/>
        </w:rPr>
        <w:t>Sawnee</w:t>
      </w:r>
      <w:proofErr w:type="spellEnd"/>
      <w:r w:rsidR="00FD0439">
        <w:rPr>
          <w:rFonts w:eastAsia="MS Mincho"/>
        </w:rPr>
        <w:t xml:space="preserve"> </w:t>
      </w:r>
      <w:proofErr w:type="spellStart"/>
      <w:r w:rsidR="00FD0439">
        <w:rPr>
          <w:rFonts w:eastAsia="MS Mincho"/>
        </w:rPr>
        <w:t>submetered</w:t>
      </w:r>
      <w:proofErr w:type="spellEnd"/>
      <w:r w:rsidR="00FD0439">
        <w:rPr>
          <w:rFonts w:eastAsia="MS Mincho"/>
        </w:rPr>
        <w:t xml:space="preserve"> the same retail electric service it received from the utility to its tenants, </w:t>
      </w:r>
      <w:r w:rsidR="009A3EC9">
        <w:rPr>
          <w:rFonts w:eastAsia="MS Mincho"/>
        </w:rPr>
        <w:t xml:space="preserve">the Court found that there </w:t>
      </w:r>
      <w:r w:rsidR="00FD0439">
        <w:rPr>
          <w:rFonts w:eastAsia="MS Mincho"/>
        </w:rPr>
        <w:t xml:space="preserve">was more than one consumer in </w:t>
      </w:r>
      <w:r w:rsidR="00FD0439">
        <w:rPr>
          <w:rFonts w:eastAsia="MS Mincho"/>
          <w:i/>
          <w:iCs/>
        </w:rPr>
        <w:t xml:space="preserve">Sawnee. </w:t>
      </w:r>
      <w:r w:rsidR="00FD0439">
        <w:rPr>
          <w:rFonts w:eastAsia="MS Mincho"/>
        </w:rPr>
        <w:t xml:space="preserve">In </w:t>
      </w:r>
      <w:r w:rsidR="0089431D">
        <w:rPr>
          <w:rFonts w:eastAsia="MS Mincho"/>
        </w:rPr>
        <w:t>contrast</w:t>
      </w:r>
      <w:r w:rsidR="00FD0439">
        <w:rPr>
          <w:rFonts w:eastAsia="MS Mincho"/>
        </w:rPr>
        <w:t xml:space="preserve">, </w:t>
      </w:r>
      <w:r w:rsidRPr="00F347B2">
        <w:rPr>
          <w:rFonts w:eastAsia="MS Mincho"/>
        </w:rPr>
        <w:t>the record</w:t>
      </w:r>
      <w:r w:rsidR="0089431D">
        <w:rPr>
          <w:rFonts w:eastAsia="MS Mincho"/>
        </w:rPr>
        <w:t xml:space="preserve"> in the present case</w:t>
      </w:r>
      <w:r w:rsidRPr="00F347B2">
        <w:rPr>
          <w:rFonts w:eastAsia="MS Mincho"/>
        </w:rPr>
        <w:t xml:space="preserve"> clearly demonstrates that </w:t>
      </w:r>
      <w:r w:rsidRPr="00FD0439">
        <w:rPr>
          <w:rFonts w:eastAsia="MS Mincho"/>
          <w:u w:val="single"/>
        </w:rPr>
        <w:t>only</w:t>
      </w:r>
      <w:r w:rsidRPr="00F347B2">
        <w:rPr>
          <w:rFonts w:eastAsia="MS Mincho"/>
        </w:rPr>
        <w:t xml:space="preserve"> Electrify America, as the retail electric service customer, consumes Georgia </w:t>
      </w:r>
      <w:r w:rsidRPr="00F347B2">
        <w:rPr>
          <w:rFonts w:eastAsia="MS Mincho"/>
        </w:rPr>
        <w:lastRenderedPageBreak/>
        <w:t xml:space="preserve">Power’s final product, which is retail electric service. (Tr. 180, 202; </w:t>
      </w:r>
      <w:r w:rsidRPr="00F347B2">
        <w:rPr>
          <w:rFonts w:eastAsia="MS Mincho"/>
          <w:i/>
          <w:iCs/>
        </w:rPr>
        <w:t>Initial Decision</w:t>
      </w:r>
      <w:r w:rsidRPr="00F347B2">
        <w:rPr>
          <w:rFonts w:eastAsia="MS Mincho"/>
        </w:rPr>
        <w:t xml:space="preserve"> 10.) </w:t>
      </w:r>
      <w:r w:rsidR="00FD0439">
        <w:rPr>
          <w:rFonts w:eastAsia="MS Mincho"/>
        </w:rPr>
        <w:t xml:space="preserve">Unlike the tenants in </w:t>
      </w:r>
      <w:r w:rsidR="00FD0439">
        <w:rPr>
          <w:rFonts w:eastAsia="MS Mincho"/>
          <w:i/>
          <w:iCs/>
        </w:rPr>
        <w:t>Sawnee</w:t>
      </w:r>
      <w:r w:rsidRPr="00F347B2">
        <w:rPr>
          <w:rFonts w:eastAsia="MS Mincho"/>
        </w:rPr>
        <w:t>,</w:t>
      </w:r>
      <w:r w:rsidR="00FD0439">
        <w:rPr>
          <w:rFonts w:eastAsia="MS Mincho"/>
        </w:rPr>
        <w:t xml:space="preserve"> the</w:t>
      </w:r>
      <w:r w:rsidRPr="00F347B2">
        <w:rPr>
          <w:rFonts w:eastAsia="MS Mincho"/>
        </w:rPr>
        <w:t xml:space="preserve"> EV drivers</w:t>
      </w:r>
      <w:r w:rsidR="00FD0439">
        <w:rPr>
          <w:rFonts w:eastAsia="MS Mincho"/>
        </w:rPr>
        <w:t xml:space="preserve"> seeking to charge their cars at </w:t>
      </w:r>
      <w:r w:rsidR="005F2504">
        <w:rPr>
          <w:rFonts w:eastAsia="MS Mincho"/>
        </w:rPr>
        <w:t>Electrify America’s</w:t>
      </w:r>
      <w:r w:rsidR="00FD0439">
        <w:rPr>
          <w:rFonts w:eastAsia="MS Mincho"/>
        </w:rPr>
        <w:t xml:space="preserve"> charging station are not seeking or receiving retail electric service. Rather, the EV drivers</w:t>
      </w:r>
      <w:r w:rsidRPr="00F347B2">
        <w:rPr>
          <w:rFonts w:eastAsia="MS Mincho"/>
        </w:rPr>
        <w:t xml:space="preserve"> contract directly with Electrify America for a separate EV charging service, which can only be provided after Electrify America first consumes the retail electric service that Georgia Power provides as AC power and then converts it to DC power.</w:t>
      </w:r>
      <w:r w:rsidR="00B13F43">
        <w:rPr>
          <w:rFonts w:eastAsia="MS Mincho"/>
        </w:rPr>
        <w:t xml:space="preserve"> </w:t>
      </w:r>
      <w:r w:rsidRPr="00F347B2">
        <w:rPr>
          <w:rFonts w:eastAsia="MS Mincho"/>
        </w:rPr>
        <w:t xml:space="preserve">Therefore, the Hearing Officer properly ruled that the aforementioned </w:t>
      </w:r>
      <w:r w:rsidRPr="00F347B2">
        <w:rPr>
          <w:rFonts w:eastAsia="MS Mincho"/>
          <w:i/>
          <w:iCs/>
        </w:rPr>
        <w:t>Sawnee</w:t>
      </w:r>
      <w:r w:rsidRPr="00F347B2">
        <w:rPr>
          <w:rFonts w:eastAsia="MS Mincho"/>
        </w:rPr>
        <w:t xml:space="preserve"> test </w:t>
      </w:r>
      <w:r w:rsidRPr="00F347B2">
        <w:rPr>
          <w:rFonts w:eastAsia="MS Mincho"/>
          <w:i/>
          <w:iCs/>
        </w:rPr>
        <w:t>compels</w:t>
      </w:r>
      <w:r w:rsidRPr="00F347B2">
        <w:rPr>
          <w:rFonts w:eastAsia="MS Mincho"/>
        </w:rPr>
        <w:t xml:space="preserve"> a finding that the Premises is utilized by one consumer, Electrify America:</w:t>
      </w:r>
      <w:r>
        <w:rPr>
          <w:rFonts w:eastAsia="MS Mincho"/>
        </w:rPr>
        <w:t xml:space="preserve"> </w:t>
      </w:r>
    </w:p>
    <w:p w14:paraId="21B3DA9E" w14:textId="50D350A3" w:rsidR="00181846" w:rsidRDefault="00181846" w:rsidP="004F45FE">
      <w:pPr>
        <w:spacing w:line="276" w:lineRule="auto"/>
        <w:ind w:left="720" w:right="720"/>
        <w:jc w:val="both"/>
        <w:rPr>
          <w:rFonts w:eastAsiaTheme="minorHAnsi"/>
        </w:rPr>
      </w:pPr>
      <w:r w:rsidRPr="00181846">
        <w:rPr>
          <w:rFonts w:eastAsiaTheme="minorHAnsi"/>
        </w:rPr>
        <w:t xml:space="preserve">Sawnee’s dependence on </w:t>
      </w:r>
      <w:r w:rsidRPr="00181846">
        <w:rPr>
          <w:rFonts w:eastAsiaTheme="minorHAnsi"/>
          <w:i/>
        </w:rPr>
        <w:t xml:space="preserve">Sawnee </w:t>
      </w:r>
      <w:r w:rsidRPr="00181846">
        <w:rPr>
          <w:rFonts w:eastAsiaTheme="minorHAnsi"/>
        </w:rPr>
        <w:t xml:space="preserve">to support its position that Electrify America is an entity other than the Supreme Court’s interpretation of “one customer” under the Territorial Act has been aptly refuted. Electrify America cannot conceivably be considered a “landlord” any more than EV drivers as “tenants.” The fact that the tenants were separately metered was essential </w:t>
      </w:r>
      <w:r w:rsidR="00FD324F">
        <w:rPr>
          <w:rFonts w:eastAsiaTheme="minorHAnsi"/>
        </w:rPr>
        <w:t xml:space="preserve">to </w:t>
      </w:r>
      <w:r w:rsidRPr="00181846">
        <w:rPr>
          <w:rFonts w:eastAsiaTheme="minorHAnsi"/>
        </w:rPr>
        <w:t>the Court’s ruling. In this case, Electrify America has one single meter which is not a master meter or pass thru meter, is contractually committed to Georgia Power for the electricity supply and is responsible for payment of that service. Georgia Power has no direct or indirect relationship with the EV driver. Further, Electrify America is offering, and the EV drivers are receiving, a very discrete service: vehicle charging.</w:t>
      </w:r>
      <w:r w:rsidR="00DC58E1">
        <w:rPr>
          <w:rFonts w:eastAsiaTheme="minorHAnsi"/>
        </w:rPr>
        <w:t xml:space="preserve"> </w:t>
      </w:r>
      <w:r w:rsidRPr="00181846">
        <w:rPr>
          <w:rFonts w:eastAsiaTheme="minorHAnsi"/>
        </w:rPr>
        <w:t>Electrify America is not offering, and the EV drivers are not receiving, retail electric service.</w:t>
      </w:r>
    </w:p>
    <w:p w14:paraId="3B549F79" w14:textId="37B80E3B" w:rsidR="00181846" w:rsidRDefault="00181846" w:rsidP="004F45FE">
      <w:pPr>
        <w:spacing w:line="276" w:lineRule="auto"/>
        <w:ind w:firstLine="360"/>
        <w:jc w:val="both"/>
        <w:rPr>
          <w:rFonts w:eastAsiaTheme="minorHAnsi"/>
        </w:rPr>
      </w:pPr>
    </w:p>
    <w:p w14:paraId="61207F8D" w14:textId="55C96570" w:rsidR="00CF2B4B" w:rsidRPr="00181846" w:rsidRDefault="00CF2B4B" w:rsidP="004F45FE">
      <w:pPr>
        <w:spacing w:line="276" w:lineRule="auto"/>
        <w:jc w:val="both"/>
        <w:rPr>
          <w:rFonts w:eastAsiaTheme="minorHAnsi"/>
        </w:rPr>
      </w:pPr>
      <w:r>
        <w:rPr>
          <w:rFonts w:eastAsiaTheme="minorHAnsi"/>
        </w:rPr>
        <w:t>(</w:t>
      </w:r>
      <w:r w:rsidR="00181846" w:rsidRPr="00CF2B4B">
        <w:rPr>
          <w:rFonts w:eastAsiaTheme="minorHAnsi"/>
          <w:i/>
          <w:iCs/>
        </w:rPr>
        <w:t>Initial Decision</w:t>
      </w:r>
      <w:r w:rsidR="00181846">
        <w:rPr>
          <w:rFonts w:eastAsiaTheme="minorHAnsi"/>
        </w:rPr>
        <w:t xml:space="preserve"> 13.</w:t>
      </w:r>
      <w:r>
        <w:rPr>
          <w:rFonts w:eastAsiaTheme="minorHAnsi"/>
        </w:rPr>
        <w:t>)</w:t>
      </w:r>
    </w:p>
    <w:p w14:paraId="628BCB59" w14:textId="68AA9624" w:rsidR="008945AB" w:rsidRPr="00D62D85" w:rsidRDefault="008945AB" w:rsidP="004F45FE">
      <w:pPr>
        <w:spacing w:line="276" w:lineRule="auto"/>
        <w:jc w:val="both"/>
        <w:rPr>
          <w:rFonts w:eastAsia="MS Mincho"/>
        </w:rPr>
      </w:pPr>
    </w:p>
    <w:p w14:paraId="03AEF9B1" w14:textId="3E2FAA61" w:rsidR="0053663E" w:rsidRPr="008664EA" w:rsidRDefault="0053663E" w:rsidP="004F45FE">
      <w:pPr>
        <w:ind w:left="1496" w:hanging="748"/>
        <w:jc w:val="both"/>
        <w:rPr>
          <w:rFonts w:eastAsia="MS Mincho"/>
          <w:b/>
        </w:rPr>
      </w:pPr>
      <w:r w:rsidRPr="008664EA">
        <w:rPr>
          <w:rFonts w:eastAsia="MS Mincho"/>
          <w:b/>
        </w:rPr>
        <w:t>D.</w:t>
      </w:r>
      <w:r w:rsidRPr="008664EA">
        <w:rPr>
          <w:rFonts w:eastAsia="MS Mincho"/>
          <w:b/>
        </w:rPr>
        <w:tab/>
        <w:t xml:space="preserve">The Hearing Officer did not </w:t>
      </w:r>
      <w:r w:rsidR="00FA152B" w:rsidRPr="008664EA">
        <w:rPr>
          <w:rFonts w:eastAsia="MS Mincho"/>
          <w:b/>
        </w:rPr>
        <w:t xml:space="preserve">expand the </w:t>
      </w:r>
      <w:r w:rsidR="00F8497B">
        <w:rPr>
          <w:rFonts w:eastAsia="MS Mincho"/>
          <w:b/>
        </w:rPr>
        <w:t xml:space="preserve">large load </w:t>
      </w:r>
      <w:r w:rsidR="00FA152B" w:rsidRPr="008664EA">
        <w:rPr>
          <w:rFonts w:eastAsia="MS Mincho"/>
          <w:b/>
        </w:rPr>
        <w:t>exception beyond the scope of its prior application</w:t>
      </w:r>
      <w:r w:rsidRPr="008664EA">
        <w:rPr>
          <w:rFonts w:eastAsia="MS Mincho"/>
          <w:b/>
        </w:rPr>
        <w:t>.</w:t>
      </w:r>
      <w:r w:rsidR="00DC58E1">
        <w:rPr>
          <w:rFonts w:eastAsia="MS Mincho"/>
          <w:b/>
        </w:rPr>
        <w:t xml:space="preserve"> </w:t>
      </w:r>
    </w:p>
    <w:p w14:paraId="6AADA868" w14:textId="77777777" w:rsidR="0053663E" w:rsidRPr="0053663E" w:rsidRDefault="0053663E" w:rsidP="004F45FE">
      <w:pPr>
        <w:ind w:right="14"/>
        <w:jc w:val="both"/>
        <w:rPr>
          <w:rFonts w:eastAsia="MS Mincho"/>
          <w:highlight w:val="yellow"/>
        </w:rPr>
      </w:pPr>
    </w:p>
    <w:p w14:paraId="2543A3FA" w14:textId="2A456CEE" w:rsidR="00B173F5" w:rsidRDefault="0053663E" w:rsidP="004F45FE">
      <w:pPr>
        <w:spacing w:line="480" w:lineRule="auto"/>
        <w:ind w:right="10"/>
        <w:jc w:val="both"/>
        <w:rPr>
          <w:rFonts w:eastAsia="MS Mincho"/>
        </w:rPr>
      </w:pPr>
      <w:r w:rsidRPr="00674799">
        <w:rPr>
          <w:rFonts w:eastAsia="MS Mincho"/>
        </w:rPr>
        <w:tab/>
      </w:r>
      <w:r w:rsidR="00533CF0">
        <w:rPr>
          <w:rFonts w:eastAsia="MS Mincho"/>
        </w:rPr>
        <w:t>Sawnee</w:t>
      </w:r>
      <w:r w:rsidR="00F8497B">
        <w:rPr>
          <w:rFonts w:eastAsia="MS Mincho"/>
        </w:rPr>
        <w:t xml:space="preserve"> EMC</w:t>
      </w:r>
      <w:r w:rsidR="00533CF0">
        <w:rPr>
          <w:rFonts w:eastAsia="MS Mincho"/>
        </w:rPr>
        <w:t>, repeatedly and without support, accuses Georgia Power and the Hearing Officer of drastically expanding the large load exception</w:t>
      </w:r>
      <w:r w:rsidR="00D5206A">
        <w:rPr>
          <w:rFonts w:eastAsia="MS Mincho"/>
        </w:rPr>
        <w:t xml:space="preserve">. </w:t>
      </w:r>
      <w:r w:rsidR="00F347B2">
        <w:rPr>
          <w:rFonts w:eastAsia="MS Mincho"/>
        </w:rPr>
        <w:t>However</w:t>
      </w:r>
      <w:r w:rsidR="00533CF0">
        <w:rPr>
          <w:rFonts w:eastAsia="MS Mincho"/>
        </w:rPr>
        <w:t>, the record show</w:t>
      </w:r>
      <w:r w:rsidR="00FD324F">
        <w:rPr>
          <w:rFonts w:eastAsia="MS Mincho"/>
        </w:rPr>
        <w:t>s</w:t>
      </w:r>
      <w:r w:rsidR="00533CF0">
        <w:rPr>
          <w:rFonts w:eastAsia="MS Mincho"/>
        </w:rPr>
        <w:t xml:space="preserve"> </w:t>
      </w:r>
      <w:r w:rsidR="00F347B2">
        <w:rPr>
          <w:rFonts w:eastAsia="MS Mincho"/>
        </w:rPr>
        <w:t xml:space="preserve">that just </w:t>
      </w:r>
      <w:r w:rsidR="00533CF0">
        <w:rPr>
          <w:rFonts w:eastAsia="MS Mincho"/>
        </w:rPr>
        <w:t>the opposite is true</w:t>
      </w:r>
      <w:r w:rsidR="00AF627D">
        <w:rPr>
          <w:rFonts w:eastAsia="MS Mincho"/>
        </w:rPr>
        <w:t xml:space="preserve">: </w:t>
      </w:r>
      <w:r w:rsidR="001100C1" w:rsidRPr="00533CF0">
        <w:rPr>
          <w:rFonts w:eastAsia="MS Mincho"/>
        </w:rPr>
        <w:t>Sawnee</w:t>
      </w:r>
      <w:r w:rsidR="00F347B2">
        <w:rPr>
          <w:rFonts w:eastAsia="MS Mincho"/>
        </w:rPr>
        <w:t xml:space="preserve"> actually</w:t>
      </w:r>
      <w:r w:rsidR="001100C1" w:rsidRPr="00533CF0">
        <w:rPr>
          <w:rFonts w:eastAsia="MS Mincho"/>
        </w:rPr>
        <w:t xml:space="preserve"> seeks to reduce the exception </w:t>
      </w:r>
      <w:r w:rsidR="00F347B2">
        <w:rPr>
          <w:rFonts w:eastAsia="MS Mincho"/>
        </w:rPr>
        <w:t>such that it could have no practical application and would be nearly impossible to apply – something which cannot be reconciled with the existence of the statutory exception or the long history of its application in Georgia</w:t>
      </w:r>
      <w:r w:rsidR="00B173F5">
        <w:rPr>
          <w:rFonts w:eastAsia="MS Mincho"/>
        </w:rPr>
        <w:t>.</w:t>
      </w:r>
      <w:r w:rsidR="00B173F5" w:rsidRPr="00B173F5">
        <w:rPr>
          <w:rFonts w:eastAsia="MS Mincho"/>
        </w:rPr>
        <w:t xml:space="preserve"> </w:t>
      </w:r>
      <w:r w:rsidR="005A360E">
        <w:rPr>
          <w:rFonts w:eastAsia="MS Mincho"/>
        </w:rPr>
        <w:t>Taking</w:t>
      </w:r>
      <w:r w:rsidR="00B173F5">
        <w:rPr>
          <w:rFonts w:eastAsia="MS Mincho"/>
        </w:rPr>
        <w:t xml:space="preserve"> </w:t>
      </w:r>
      <w:r w:rsidR="00B173F5">
        <w:rPr>
          <w:rFonts w:eastAsia="MS Mincho"/>
        </w:rPr>
        <w:lastRenderedPageBreak/>
        <w:t xml:space="preserve">Sawnee’s argument to its logical extreme, that “the very nature of an electric vehicle charging station is to provide electricity to many customers,” an EV charging station could </w:t>
      </w:r>
      <w:r w:rsidR="00B173F5" w:rsidRPr="007D2BEE">
        <w:rPr>
          <w:rFonts w:eastAsia="MS Mincho"/>
          <w:i/>
          <w:iCs/>
        </w:rPr>
        <w:t>never</w:t>
      </w:r>
      <w:r w:rsidR="00B173F5">
        <w:rPr>
          <w:rFonts w:eastAsia="MS Mincho"/>
        </w:rPr>
        <w:t xml:space="preserve"> qualify for the large load exception. (</w:t>
      </w:r>
      <w:r w:rsidR="00B173F5" w:rsidRPr="00380371">
        <w:rPr>
          <w:rFonts w:eastAsia="MS Mincho"/>
          <w:i/>
          <w:iCs/>
        </w:rPr>
        <w:t>Sawnee Brief</w:t>
      </w:r>
      <w:r w:rsidR="00B173F5">
        <w:rPr>
          <w:rFonts w:eastAsia="MS Mincho"/>
        </w:rPr>
        <w:t xml:space="preserve"> at 15, </w:t>
      </w:r>
      <w:r w:rsidR="00B173F5" w:rsidRPr="00380371">
        <w:rPr>
          <w:rFonts w:eastAsia="MS Mincho"/>
          <w:i/>
          <w:iCs/>
        </w:rPr>
        <w:t>Application</w:t>
      </w:r>
      <w:r w:rsidR="00B173F5">
        <w:rPr>
          <w:rFonts w:eastAsia="MS Mincho"/>
        </w:rPr>
        <w:t xml:space="preserve"> at 16.) </w:t>
      </w:r>
      <w:r w:rsidR="00F347B2">
        <w:rPr>
          <w:rFonts w:eastAsia="MS Mincho"/>
        </w:rPr>
        <w:t>Sawnee as much as confirms this</w:t>
      </w:r>
      <w:r w:rsidR="00264B53">
        <w:rPr>
          <w:rFonts w:eastAsia="MS Mincho"/>
        </w:rPr>
        <w:t xml:space="preserve"> radical construction</w:t>
      </w:r>
      <w:r w:rsidR="00B173F5">
        <w:rPr>
          <w:rFonts w:eastAsia="MS Mincho"/>
        </w:rPr>
        <w:t xml:space="preserve"> </w:t>
      </w:r>
      <w:r w:rsidR="00F347B2">
        <w:rPr>
          <w:rFonts w:eastAsia="MS Mincho"/>
        </w:rPr>
        <w:t>in testimony</w:t>
      </w:r>
      <w:r w:rsidR="00B173F5">
        <w:rPr>
          <w:rFonts w:eastAsia="MS Mincho"/>
        </w:rPr>
        <w:t>:</w:t>
      </w:r>
    </w:p>
    <w:p w14:paraId="5FFBB430" w14:textId="661E4484" w:rsidR="00533CF0" w:rsidRDefault="00533CF0" w:rsidP="004F45FE">
      <w:pPr>
        <w:spacing w:line="480" w:lineRule="auto"/>
        <w:ind w:left="1440" w:right="720" w:hanging="720"/>
        <w:jc w:val="both"/>
        <w:rPr>
          <w:rFonts w:eastAsia="MS Mincho"/>
        </w:rPr>
      </w:pPr>
      <w:r>
        <w:rPr>
          <w:rFonts w:eastAsia="MS Mincho"/>
        </w:rPr>
        <w:t>Q.</w:t>
      </w:r>
      <w:r w:rsidR="00B173F5">
        <w:rPr>
          <w:rFonts w:eastAsia="MS Mincho"/>
        </w:rPr>
        <w:tab/>
        <w:t>…under that interpretation of Sawnee’s (inaudible) – would any EV charging station be eligible to qualify for choice in Sawnee EMC’s territory?</w:t>
      </w:r>
    </w:p>
    <w:p w14:paraId="08FD16E6" w14:textId="5598EEEA" w:rsidR="00533CF0" w:rsidRDefault="00533CF0" w:rsidP="004F45FE">
      <w:pPr>
        <w:spacing w:line="480" w:lineRule="auto"/>
        <w:ind w:right="720"/>
        <w:jc w:val="both"/>
        <w:rPr>
          <w:rFonts w:eastAsia="MS Mincho"/>
        </w:rPr>
      </w:pPr>
      <w:r>
        <w:rPr>
          <w:rFonts w:eastAsia="MS Mincho"/>
        </w:rPr>
        <w:tab/>
        <w:t xml:space="preserve">A. </w:t>
      </w:r>
      <w:r w:rsidR="00B173F5">
        <w:rPr>
          <w:rFonts w:eastAsia="MS Mincho"/>
        </w:rPr>
        <w:tab/>
        <w:t>I don’t think so.</w:t>
      </w:r>
    </w:p>
    <w:p w14:paraId="5363E8E3" w14:textId="43703072" w:rsidR="00380371" w:rsidRDefault="00B173F5" w:rsidP="004F45FE">
      <w:pPr>
        <w:spacing w:line="480" w:lineRule="auto"/>
        <w:ind w:right="720"/>
        <w:jc w:val="both"/>
        <w:rPr>
          <w:rFonts w:eastAsia="MS Mincho"/>
        </w:rPr>
      </w:pPr>
      <w:r>
        <w:rPr>
          <w:rFonts w:eastAsia="MS Mincho"/>
        </w:rPr>
        <w:t>(Tr. 53</w:t>
      </w:r>
      <w:r w:rsidR="00E43E59">
        <w:rPr>
          <w:rFonts w:eastAsia="MS Mincho"/>
        </w:rPr>
        <w:t>.</w:t>
      </w:r>
      <w:r>
        <w:rPr>
          <w:rFonts w:eastAsia="MS Mincho"/>
        </w:rPr>
        <w:t xml:space="preserve">) </w:t>
      </w:r>
    </w:p>
    <w:p w14:paraId="2B95ABDE" w14:textId="6841E071" w:rsidR="007755BC" w:rsidRDefault="001F26E9" w:rsidP="004F45FE">
      <w:pPr>
        <w:spacing w:line="480" w:lineRule="auto"/>
        <w:ind w:right="10" w:firstLine="720"/>
        <w:jc w:val="both"/>
        <w:rPr>
          <w:rFonts w:eastAsia="MS Mincho"/>
          <w:highlight w:val="yellow"/>
        </w:rPr>
      </w:pPr>
      <w:r>
        <w:rPr>
          <w:rFonts w:eastAsia="MS Mincho"/>
        </w:rPr>
        <w:t xml:space="preserve">The Initial decision does not </w:t>
      </w:r>
      <w:r w:rsidR="00B173F5" w:rsidRPr="00BC502F">
        <w:rPr>
          <w:rFonts w:eastAsia="MS Mincho"/>
        </w:rPr>
        <w:t xml:space="preserve">expand the </w:t>
      </w:r>
      <w:r w:rsidR="00AF627D">
        <w:rPr>
          <w:rFonts w:eastAsia="MS Mincho"/>
        </w:rPr>
        <w:t xml:space="preserve">large load </w:t>
      </w:r>
      <w:r w:rsidR="00B173F5" w:rsidRPr="00BC502F">
        <w:rPr>
          <w:rFonts w:eastAsia="MS Mincho"/>
        </w:rPr>
        <w:t>exception</w:t>
      </w:r>
      <w:r w:rsidR="00F347B2">
        <w:rPr>
          <w:rFonts w:eastAsia="MS Mincho"/>
        </w:rPr>
        <w:t>. Rather</w:t>
      </w:r>
      <w:r w:rsidR="00BC502F" w:rsidRPr="00BC502F">
        <w:rPr>
          <w:rFonts w:eastAsia="MS Mincho"/>
        </w:rPr>
        <w:t>,</w:t>
      </w:r>
      <w:r w:rsidR="00B173F5" w:rsidRPr="00BC502F">
        <w:rPr>
          <w:rFonts w:eastAsia="MS Mincho"/>
        </w:rPr>
        <w:t xml:space="preserve"> </w:t>
      </w:r>
      <w:r w:rsidR="00F347B2">
        <w:rPr>
          <w:rFonts w:eastAsia="MS Mincho"/>
        </w:rPr>
        <w:t>it</w:t>
      </w:r>
      <w:r w:rsidR="00B173F5" w:rsidRPr="00BC502F">
        <w:rPr>
          <w:rFonts w:eastAsia="MS Mincho"/>
        </w:rPr>
        <w:t xml:space="preserve"> fairly appl</w:t>
      </w:r>
      <w:r>
        <w:rPr>
          <w:rFonts w:eastAsia="MS Mincho"/>
        </w:rPr>
        <w:t>ies</w:t>
      </w:r>
      <w:r w:rsidR="00B173F5" w:rsidRPr="00BC502F">
        <w:rPr>
          <w:rFonts w:eastAsia="MS Mincho"/>
        </w:rPr>
        <w:t xml:space="preserve"> </w:t>
      </w:r>
      <w:r w:rsidR="00F347B2">
        <w:rPr>
          <w:rFonts w:eastAsia="MS Mincho"/>
        </w:rPr>
        <w:t>the exception</w:t>
      </w:r>
      <w:r w:rsidR="00F347B2" w:rsidRPr="00BC502F">
        <w:rPr>
          <w:rFonts w:eastAsia="MS Mincho"/>
        </w:rPr>
        <w:t xml:space="preserve"> </w:t>
      </w:r>
      <w:r w:rsidR="00B173F5" w:rsidRPr="00BC502F">
        <w:rPr>
          <w:rFonts w:eastAsia="MS Mincho"/>
        </w:rPr>
        <w:t xml:space="preserve">to </w:t>
      </w:r>
      <w:r w:rsidR="00BC502F" w:rsidRPr="00BC502F">
        <w:rPr>
          <w:rFonts w:eastAsia="MS Mincho"/>
        </w:rPr>
        <w:t xml:space="preserve">a </w:t>
      </w:r>
      <w:r w:rsidR="00B173F5" w:rsidRPr="00BC502F">
        <w:rPr>
          <w:rFonts w:eastAsia="MS Mincho"/>
        </w:rPr>
        <w:t>circumstance</w:t>
      </w:r>
      <w:r w:rsidR="00F347B2">
        <w:rPr>
          <w:rFonts w:eastAsia="MS Mincho"/>
        </w:rPr>
        <w:t xml:space="preserve"> </w:t>
      </w:r>
      <w:r w:rsidR="00F347B2" w:rsidRPr="00F347B2">
        <w:rPr>
          <w:rFonts w:eastAsia="MS Mincho"/>
        </w:rPr>
        <w:t>(i.e., the provision of retail electric service to an EV charging station)</w:t>
      </w:r>
      <w:r w:rsidR="00B173F5" w:rsidRPr="00BC502F">
        <w:rPr>
          <w:rFonts w:eastAsia="MS Mincho"/>
        </w:rPr>
        <w:t xml:space="preserve"> the drafters of the Territorial Act may not have contemplated</w:t>
      </w:r>
      <w:r w:rsidR="00B173F5">
        <w:rPr>
          <w:rFonts w:eastAsia="MS Mincho"/>
        </w:rPr>
        <w:t xml:space="preserve"> nearly 50 years </w:t>
      </w:r>
      <w:r w:rsidR="00F347B2">
        <w:rPr>
          <w:rFonts w:eastAsia="MS Mincho"/>
        </w:rPr>
        <w:t>ago</w:t>
      </w:r>
      <w:r w:rsidR="00B173F5">
        <w:rPr>
          <w:rFonts w:eastAsia="MS Mincho"/>
        </w:rPr>
        <w:t xml:space="preserve">. </w:t>
      </w:r>
      <w:r w:rsidR="00F32871" w:rsidRPr="00131659">
        <w:rPr>
          <w:rFonts w:eastAsia="MS Mincho"/>
        </w:rPr>
        <w:t xml:space="preserve">Therefore, the Hearing Officer properly found </w:t>
      </w:r>
      <w:r>
        <w:rPr>
          <w:rFonts w:eastAsia="MS Mincho"/>
        </w:rPr>
        <w:t>the consumer’s right to choose its electric supplier for this</w:t>
      </w:r>
      <w:r w:rsidR="008664EA">
        <w:rPr>
          <w:rFonts w:eastAsia="MS Mincho"/>
        </w:rPr>
        <w:t xml:space="preserve"> Premises </w:t>
      </w:r>
      <w:r w:rsidR="00BC502F">
        <w:rPr>
          <w:rFonts w:eastAsia="MS Mincho"/>
        </w:rPr>
        <w:t xml:space="preserve">fits </w:t>
      </w:r>
      <w:r w:rsidR="008664EA">
        <w:rPr>
          <w:rFonts w:eastAsia="MS Mincho"/>
        </w:rPr>
        <w:t>squarely within the</w:t>
      </w:r>
      <w:r w:rsidR="00FB3F61">
        <w:rPr>
          <w:rFonts w:eastAsia="MS Mincho"/>
        </w:rPr>
        <w:t xml:space="preserve"> newly constructed</w:t>
      </w:r>
      <w:r w:rsidR="00DC58E1">
        <w:rPr>
          <w:rFonts w:eastAsia="MS Mincho"/>
        </w:rPr>
        <w:t xml:space="preserve"> </w:t>
      </w:r>
      <w:r w:rsidR="00FB3F61">
        <w:rPr>
          <w:rFonts w:eastAsia="MS Mincho"/>
        </w:rPr>
        <w:t>900</w:t>
      </w:r>
      <w:r w:rsidR="006D3558">
        <w:rPr>
          <w:rFonts w:eastAsia="MS Mincho"/>
        </w:rPr>
        <w:t xml:space="preserve"> </w:t>
      </w:r>
      <w:r w:rsidR="00FB3F61">
        <w:rPr>
          <w:rFonts w:eastAsia="MS Mincho"/>
        </w:rPr>
        <w:t>kW connected load premises provision of the statute</w:t>
      </w:r>
      <w:r w:rsidR="00F32871" w:rsidRPr="008664EA">
        <w:rPr>
          <w:rFonts w:eastAsia="MS Mincho"/>
        </w:rPr>
        <w:t>.</w:t>
      </w:r>
    </w:p>
    <w:p w14:paraId="01DC89BF" w14:textId="1BC44B88" w:rsidR="0053663E" w:rsidRPr="004D26EF" w:rsidRDefault="0053663E" w:rsidP="001E36FA">
      <w:pPr>
        <w:spacing w:before="240" w:after="240" w:line="480" w:lineRule="auto"/>
        <w:jc w:val="both"/>
        <w:rPr>
          <w:rFonts w:eastAsia="MS Mincho"/>
          <w:b/>
          <w:bCs/>
        </w:rPr>
      </w:pPr>
      <w:r w:rsidRPr="004D26EF">
        <w:rPr>
          <w:rFonts w:eastAsia="MS Mincho"/>
          <w:b/>
          <w:bCs/>
        </w:rPr>
        <w:t>I</w:t>
      </w:r>
      <w:r w:rsidR="00131659">
        <w:rPr>
          <w:rFonts w:eastAsia="MS Mincho"/>
          <w:b/>
          <w:bCs/>
        </w:rPr>
        <w:t>V</w:t>
      </w:r>
      <w:r w:rsidRPr="004D26EF">
        <w:rPr>
          <w:rFonts w:eastAsia="MS Mincho"/>
          <w:b/>
          <w:bCs/>
        </w:rPr>
        <w:t>.</w:t>
      </w:r>
      <w:r w:rsidRPr="004D26EF">
        <w:rPr>
          <w:rFonts w:eastAsia="MS Mincho"/>
          <w:b/>
          <w:bCs/>
        </w:rPr>
        <w:tab/>
      </w:r>
      <w:r w:rsidRPr="004D26EF">
        <w:rPr>
          <w:rFonts w:eastAsia="MS Mincho"/>
          <w:b/>
          <w:bCs/>
          <w:caps/>
        </w:rPr>
        <w:t>Conclusion</w:t>
      </w:r>
    </w:p>
    <w:p w14:paraId="7C53E489" w14:textId="5B51623F" w:rsidR="00553611" w:rsidRDefault="0053663E" w:rsidP="004F45FE">
      <w:pPr>
        <w:spacing w:line="480" w:lineRule="auto"/>
        <w:jc w:val="both"/>
        <w:rPr>
          <w:rFonts w:eastAsia="MS Mincho"/>
        </w:rPr>
      </w:pPr>
      <w:r w:rsidRPr="004D26EF">
        <w:rPr>
          <w:rFonts w:eastAsia="MS Mincho"/>
        </w:rPr>
        <w:tab/>
      </w:r>
      <w:r w:rsidR="00553611">
        <w:rPr>
          <w:rFonts w:eastAsia="MS Mincho"/>
        </w:rPr>
        <w:t xml:space="preserve">The Hearing Officer </w:t>
      </w:r>
      <w:r w:rsidR="00F347B2">
        <w:rPr>
          <w:rFonts w:eastAsia="MS Mincho"/>
        </w:rPr>
        <w:t>did not err</w:t>
      </w:r>
      <w:r w:rsidR="00553611">
        <w:rPr>
          <w:rFonts w:eastAsia="MS Mincho"/>
        </w:rPr>
        <w:t xml:space="preserve"> in concluding that Georgia Power successfully met its burden of proof in establishing the elements of the large load exception to the Territorial Act. In reaching her Initial Decision, the Hearing Officer presented a thorough and thoughtful analysis that correctly applied longstanding, unambiguous Commission precedent to the undisputed facts of the present case. </w:t>
      </w:r>
    </w:p>
    <w:p w14:paraId="2DD6790D" w14:textId="36D2DCBB" w:rsidR="0053663E" w:rsidRPr="004D26EF" w:rsidRDefault="0053663E" w:rsidP="004F45FE">
      <w:pPr>
        <w:spacing w:line="480" w:lineRule="auto"/>
        <w:ind w:firstLine="720"/>
        <w:jc w:val="both"/>
        <w:rPr>
          <w:rFonts w:eastAsia="MS Mincho"/>
        </w:rPr>
      </w:pPr>
      <w:r w:rsidRPr="004D26EF">
        <w:rPr>
          <w:rFonts w:eastAsia="MS Mincho"/>
        </w:rPr>
        <w:lastRenderedPageBreak/>
        <w:t>For the numerous reasons set forth above, Georgia Power requests that the Commission</w:t>
      </w:r>
      <w:r w:rsidR="00FB3F61">
        <w:rPr>
          <w:rFonts w:eastAsia="MS Mincho"/>
        </w:rPr>
        <w:t xml:space="preserve"> </w:t>
      </w:r>
      <w:r w:rsidR="006D3558">
        <w:rPr>
          <w:rFonts w:eastAsia="MS Mincho"/>
        </w:rPr>
        <w:t>deny Sawnee</w:t>
      </w:r>
      <w:r w:rsidR="00AF627D">
        <w:rPr>
          <w:rFonts w:eastAsia="MS Mincho"/>
        </w:rPr>
        <w:t xml:space="preserve"> EMC</w:t>
      </w:r>
      <w:r w:rsidR="006D3558">
        <w:rPr>
          <w:rFonts w:eastAsia="MS Mincho"/>
        </w:rPr>
        <w:t xml:space="preserve">’s Application and </w:t>
      </w:r>
      <w:r w:rsidR="00FB3F61">
        <w:rPr>
          <w:rFonts w:eastAsia="MS Mincho"/>
        </w:rPr>
        <w:t xml:space="preserve">affirm the </w:t>
      </w:r>
      <w:r w:rsidR="007755BC">
        <w:rPr>
          <w:rFonts w:eastAsia="MS Mincho"/>
        </w:rPr>
        <w:t>Hearing Officer’s Initial Decision</w:t>
      </w:r>
      <w:r w:rsidR="00AA7A84">
        <w:rPr>
          <w:rFonts w:eastAsia="MS Mincho"/>
        </w:rPr>
        <w:t>.</w:t>
      </w:r>
    </w:p>
    <w:p w14:paraId="674C7F2A" w14:textId="0FFC286D" w:rsidR="001D34E1" w:rsidRDefault="0053663E" w:rsidP="004F45FE">
      <w:pPr>
        <w:spacing w:line="480" w:lineRule="auto"/>
        <w:jc w:val="both"/>
        <w:rPr>
          <w:rFonts w:eastAsia="MS Mincho"/>
        </w:rPr>
      </w:pPr>
      <w:r w:rsidRPr="004D26EF">
        <w:rPr>
          <w:rFonts w:eastAsia="MS Mincho"/>
        </w:rPr>
        <w:tab/>
      </w:r>
    </w:p>
    <w:p w14:paraId="3CD3BAF0" w14:textId="5A542040" w:rsidR="0053663E" w:rsidRPr="004D26EF" w:rsidRDefault="0053663E" w:rsidP="004F45FE">
      <w:pPr>
        <w:spacing w:line="480" w:lineRule="auto"/>
        <w:jc w:val="both"/>
        <w:rPr>
          <w:rFonts w:eastAsia="MS Mincho"/>
        </w:rPr>
      </w:pPr>
      <w:r w:rsidRPr="004D26EF">
        <w:rPr>
          <w:rFonts w:eastAsia="MS Mincho"/>
        </w:rPr>
        <w:t xml:space="preserve">Respectfully submitted this </w:t>
      </w:r>
      <w:r w:rsidR="004D26EF" w:rsidRPr="004D26EF">
        <w:rPr>
          <w:rFonts w:eastAsia="MS Mincho"/>
        </w:rPr>
        <w:t>___</w:t>
      </w:r>
      <w:r w:rsidRPr="004D26EF">
        <w:rPr>
          <w:rFonts w:eastAsia="MS Mincho"/>
        </w:rPr>
        <w:t xml:space="preserve"> day of </w:t>
      </w:r>
      <w:r w:rsidR="00553611">
        <w:rPr>
          <w:rFonts w:eastAsia="MS Mincho"/>
        </w:rPr>
        <w:t>July</w:t>
      </w:r>
      <w:r w:rsidRPr="004D26EF">
        <w:rPr>
          <w:rFonts w:eastAsia="MS Mincho"/>
        </w:rPr>
        <w:t xml:space="preserve">, </w:t>
      </w:r>
      <w:r w:rsidR="004D26EF" w:rsidRPr="004D26EF">
        <w:rPr>
          <w:rFonts w:eastAsia="MS Mincho"/>
        </w:rPr>
        <w:t>2022</w:t>
      </w:r>
      <w:r w:rsidRPr="004D26EF">
        <w:rPr>
          <w:rFonts w:eastAsia="MS Mincho"/>
        </w:rPr>
        <w:t>.</w:t>
      </w:r>
    </w:p>
    <w:p w14:paraId="21B766AA" w14:textId="77777777" w:rsidR="0053663E" w:rsidRPr="0053663E" w:rsidRDefault="0053663E" w:rsidP="004F45FE">
      <w:pPr>
        <w:ind w:left="5040"/>
        <w:rPr>
          <w:rFonts w:eastAsia="MS Mincho"/>
          <w:highlight w:val="yellow"/>
        </w:rPr>
      </w:pPr>
    </w:p>
    <w:p w14:paraId="13EA3EE8" w14:textId="77777777" w:rsidR="0053663E" w:rsidRPr="00EB4DDC" w:rsidRDefault="0053663E" w:rsidP="004F45FE">
      <w:pPr>
        <w:ind w:left="5040"/>
        <w:rPr>
          <w:rFonts w:eastAsia="MS Mincho"/>
        </w:rPr>
      </w:pPr>
    </w:p>
    <w:p w14:paraId="1C7C1822" w14:textId="77777777" w:rsidR="0053663E" w:rsidRPr="00EB4DDC" w:rsidRDefault="0053663E" w:rsidP="004F45FE">
      <w:pPr>
        <w:ind w:left="5040"/>
        <w:rPr>
          <w:rFonts w:eastAsia="MS Mincho"/>
        </w:rPr>
      </w:pPr>
      <w:r w:rsidRPr="00EB4DDC">
        <w:rPr>
          <w:rFonts w:eastAsia="MS Mincho"/>
        </w:rPr>
        <w:t>__________________________</w:t>
      </w:r>
    </w:p>
    <w:p w14:paraId="5FB69FA0" w14:textId="113EE97A" w:rsidR="0053663E" w:rsidRPr="00EB4DDC" w:rsidRDefault="00EB4DDC" w:rsidP="004F45FE">
      <w:pPr>
        <w:ind w:left="5040"/>
        <w:rPr>
          <w:rFonts w:eastAsia="MS Mincho"/>
        </w:rPr>
      </w:pPr>
      <w:r w:rsidRPr="00EB4DDC">
        <w:rPr>
          <w:rFonts w:eastAsia="MS Mincho"/>
        </w:rPr>
        <w:t>Steven J. Hewitson</w:t>
      </w:r>
    </w:p>
    <w:p w14:paraId="0AAD07C4" w14:textId="00E51800" w:rsidR="0053663E" w:rsidRPr="00EB4DDC" w:rsidRDefault="00EB4DDC" w:rsidP="004F45FE">
      <w:pPr>
        <w:ind w:left="5040"/>
        <w:rPr>
          <w:rFonts w:eastAsia="MS Mincho"/>
        </w:rPr>
      </w:pPr>
      <w:r w:rsidRPr="00EB4DDC">
        <w:rPr>
          <w:rFonts w:eastAsia="MS Mincho"/>
        </w:rPr>
        <w:t>Robert P. Edwards, Jr.</w:t>
      </w:r>
    </w:p>
    <w:p w14:paraId="12F858AD" w14:textId="531E8C29" w:rsidR="0053663E" w:rsidRPr="00EB4DDC" w:rsidRDefault="00EB4DDC" w:rsidP="004F45FE">
      <w:pPr>
        <w:ind w:left="5040"/>
        <w:rPr>
          <w:rFonts w:eastAsia="MS Mincho"/>
        </w:rPr>
      </w:pPr>
      <w:r w:rsidRPr="00EB4DDC">
        <w:rPr>
          <w:rFonts w:eastAsia="MS Mincho"/>
        </w:rPr>
        <w:t>Allison W. Pryor</w:t>
      </w:r>
    </w:p>
    <w:p w14:paraId="41EF7467" w14:textId="77777777" w:rsidR="00EB4DDC" w:rsidRPr="00EB4DDC" w:rsidRDefault="00EB4DDC" w:rsidP="004F45FE">
      <w:pPr>
        <w:ind w:left="5040"/>
        <w:rPr>
          <w:rFonts w:eastAsia="MS Mincho"/>
        </w:rPr>
      </w:pPr>
      <w:r w:rsidRPr="00EB4DDC">
        <w:rPr>
          <w:rFonts w:eastAsia="MS Mincho"/>
        </w:rPr>
        <w:t>Attorneys</w:t>
      </w:r>
      <w:r w:rsidR="0053663E" w:rsidRPr="00EB4DDC">
        <w:rPr>
          <w:rFonts w:eastAsia="MS Mincho"/>
        </w:rPr>
        <w:t xml:space="preserve"> for Georgia Power Company</w:t>
      </w:r>
    </w:p>
    <w:p w14:paraId="681B81C7" w14:textId="7CF712BB" w:rsidR="00EB4DDC" w:rsidRDefault="0053663E" w:rsidP="004F45FE">
      <w:pPr>
        <w:ind w:left="5040"/>
        <w:rPr>
          <w:rFonts w:eastAsia="MS Mincho"/>
        </w:rPr>
      </w:pPr>
      <w:r w:rsidRPr="00EB4DDC">
        <w:rPr>
          <w:rFonts w:eastAsia="MS Mincho"/>
        </w:rPr>
        <w:t xml:space="preserve">TROUTMAN </w:t>
      </w:r>
      <w:r w:rsidR="004D26EF" w:rsidRPr="00EB4DDC">
        <w:rPr>
          <w:rFonts w:eastAsia="MS Mincho"/>
        </w:rPr>
        <w:t>PEPPER</w:t>
      </w:r>
      <w:r w:rsidR="00EB4DDC" w:rsidRPr="00EB4DDC">
        <w:rPr>
          <w:rFonts w:eastAsia="MS Mincho"/>
        </w:rPr>
        <w:t xml:space="preserve"> HAMILTON</w:t>
      </w:r>
      <w:r w:rsidR="00EB4DDC">
        <w:rPr>
          <w:rFonts w:eastAsia="MS Mincho"/>
        </w:rPr>
        <w:t xml:space="preserve"> SANDERS</w:t>
      </w:r>
      <w:r w:rsidRPr="004D26EF">
        <w:rPr>
          <w:rFonts w:eastAsia="MS Mincho"/>
        </w:rPr>
        <w:t xml:space="preserve"> LLP</w:t>
      </w:r>
    </w:p>
    <w:p w14:paraId="6B25C801" w14:textId="77777777" w:rsidR="00EB4DDC" w:rsidRDefault="0053663E" w:rsidP="004F45FE">
      <w:pPr>
        <w:ind w:left="5040"/>
        <w:rPr>
          <w:rFonts w:eastAsia="MS Mincho"/>
        </w:rPr>
      </w:pPr>
      <w:r w:rsidRPr="004D26EF">
        <w:rPr>
          <w:rFonts w:eastAsia="MS Mincho"/>
        </w:rPr>
        <w:t>Bank of America Plaza</w:t>
      </w:r>
    </w:p>
    <w:p w14:paraId="1E7AA4D2" w14:textId="6997BC97" w:rsidR="00EB4DDC" w:rsidRDefault="0053663E" w:rsidP="004F45FE">
      <w:pPr>
        <w:ind w:left="5040"/>
        <w:rPr>
          <w:rFonts w:eastAsia="MS Mincho"/>
        </w:rPr>
      </w:pPr>
      <w:r w:rsidRPr="004D26EF">
        <w:rPr>
          <w:rFonts w:eastAsia="MS Mincho"/>
        </w:rPr>
        <w:t>600 Peachtree Street, N</w:t>
      </w:r>
      <w:r w:rsidR="00EB4DDC">
        <w:rPr>
          <w:rFonts w:eastAsia="MS Mincho"/>
        </w:rPr>
        <w:t xml:space="preserve">E, </w:t>
      </w:r>
      <w:r w:rsidRPr="004D26EF">
        <w:rPr>
          <w:rFonts w:eastAsia="MS Mincho"/>
        </w:rPr>
        <w:t xml:space="preserve">Suite </w:t>
      </w:r>
      <w:r w:rsidR="004D26EF" w:rsidRPr="004D26EF">
        <w:rPr>
          <w:rFonts w:eastAsia="MS Mincho"/>
        </w:rPr>
        <w:t>3000</w:t>
      </w:r>
    </w:p>
    <w:p w14:paraId="08B491C1" w14:textId="77777777" w:rsidR="00EB4DDC" w:rsidRDefault="0053663E" w:rsidP="004F45FE">
      <w:pPr>
        <w:ind w:left="5040"/>
        <w:rPr>
          <w:rFonts w:eastAsia="MS Mincho"/>
        </w:rPr>
      </w:pPr>
      <w:r w:rsidRPr="004D26EF">
        <w:rPr>
          <w:rFonts w:eastAsia="MS Mincho"/>
        </w:rPr>
        <w:t>Atlanta, Georgia 30308-2216</w:t>
      </w:r>
    </w:p>
    <w:p w14:paraId="5E273C61" w14:textId="206BCE9B" w:rsidR="00F83310" w:rsidRPr="00EB4DDC" w:rsidRDefault="00EB4DDC" w:rsidP="004F45FE">
      <w:pPr>
        <w:ind w:left="5040"/>
        <w:rPr>
          <w:rFonts w:eastAsia="MS Mincho"/>
          <w:highlight w:val="yellow"/>
        </w:rPr>
      </w:pPr>
      <w:r>
        <w:rPr>
          <w:rFonts w:eastAsia="MS Mincho"/>
        </w:rPr>
        <w:t xml:space="preserve">Telephone: </w:t>
      </w:r>
      <w:r w:rsidR="0053663E" w:rsidRPr="004D26EF">
        <w:rPr>
          <w:rFonts w:eastAsia="MS Mincho"/>
        </w:rPr>
        <w:t>404</w:t>
      </w:r>
      <w:r>
        <w:rPr>
          <w:rFonts w:eastAsia="MS Mincho"/>
        </w:rPr>
        <w:t>.</w:t>
      </w:r>
      <w:r w:rsidR="0053663E" w:rsidRPr="004D26EF">
        <w:rPr>
          <w:rFonts w:eastAsia="MS Mincho"/>
        </w:rPr>
        <w:t>885</w:t>
      </w:r>
      <w:r>
        <w:rPr>
          <w:rFonts w:eastAsia="MS Mincho"/>
        </w:rPr>
        <w:t>.</w:t>
      </w:r>
      <w:r w:rsidR="0053663E" w:rsidRPr="004D26EF">
        <w:rPr>
          <w:rFonts w:eastAsia="MS Mincho"/>
        </w:rPr>
        <w:t>300</w:t>
      </w:r>
      <w:r>
        <w:rPr>
          <w:rFonts w:eastAsia="MS Mincho"/>
        </w:rPr>
        <w:t>0</w:t>
      </w:r>
    </w:p>
    <w:sectPr w:rsidR="00F83310" w:rsidRPr="00EB4DDC" w:rsidSect="00EF5D8E">
      <w:footerReference w:type="default" r:id="rId8"/>
      <w:footerReference w:type="firs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379C2" w14:textId="77777777" w:rsidR="008A2769" w:rsidRDefault="008A2769" w:rsidP="0053663E">
      <w:r>
        <w:separator/>
      </w:r>
    </w:p>
  </w:endnote>
  <w:endnote w:type="continuationSeparator" w:id="0">
    <w:p w14:paraId="7608358C" w14:textId="77777777" w:rsidR="008A2769" w:rsidRDefault="008A2769" w:rsidP="0053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9819855"/>
      <w:docPartObj>
        <w:docPartGallery w:val="Page Numbers (Top of Page)"/>
        <w:docPartUnique/>
      </w:docPartObj>
    </w:sdtPr>
    <w:sdtEndPr/>
    <w:sdtContent>
      <w:p w14:paraId="2BC39DA9" w14:textId="77777777" w:rsidR="0031730D" w:rsidRDefault="0031730D" w:rsidP="001D34E1">
        <w:pPr>
          <w:pStyle w:val="Footer"/>
          <w:jc w:val="center"/>
        </w:pPr>
      </w:p>
      <w:p w14:paraId="63B03584" w14:textId="572B1B50" w:rsidR="001D34E1" w:rsidRPr="001C02C1" w:rsidRDefault="001D34E1" w:rsidP="001D34E1">
        <w:pPr>
          <w:pStyle w:val="Footer"/>
          <w:jc w:val="center"/>
          <w:rPr>
            <w:sz w:val="20"/>
            <w:szCs w:val="16"/>
          </w:rPr>
        </w:pPr>
        <w:r w:rsidRPr="001C02C1">
          <w:rPr>
            <w:sz w:val="20"/>
            <w:szCs w:val="16"/>
          </w:rPr>
          <w:t>Docket No. 43899</w:t>
        </w:r>
      </w:p>
      <w:p w14:paraId="6F066497" w14:textId="77777777" w:rsidR="001D34E1" w:rsidRPr="001C02C1" w:rsidRDefault="001D34E1" w:rsidP="001D34E1">
        <w:pPr>
          <w:pStyle w:val="Footer"/>
          <w:jc w:val="center"/>
          <w:rPr>
            <w:sz w:val="20"/>
            <w:szCs w:val="16"/>
          </w:rPr>
        </w:pPr>
        <w:r>
          <w:rPr>
            <w:sz w:val="20"/>
            <w:szCs w:val="16"/>
          </w:rPr>
          <w:t>Georgia Power Company’s Response to Sawnee Electric Membership Corporation’s Application for Full Commission Review</w:t>
        </w:r>
      </w:p>
      <w:p w14:paraId="40CE675A" w14:textId="27A5AE84" w:rsidR="005545F6" w:rsidRDefault="001D34E1" w:rsidP="001D34E1">
        <w:pPr>
          <w:pStyle w:val="Footer"/>
          <w:widowControl w:val="0"/>
          <w:tabs>
            <w:tab w:val="center" w:pos="4320"/>
          </w:tabs>
          <w:jc w:val="center"/>
        </w:pPr>
        <w:r w:rsidRPr="001C02C1">
          <w:rPr>
            <w:sz w:val="20"/>
            <w:szCs w:val="16"/>
          </w:rPr>
          <w:t xml:space="preserve">Page </w:t>
        </w:r>
        <w:r w:rsidRPr="001C02C1">
          <w:rPr>
            <w:sz w:val="20"/>
          </w:rPr>
          <w:fldChar w:fldCharType="begin"/>
        </w:r>
        <w:r w:rsidRPr="001C02C1">
          <w:rPr>
            <w:sz w:val="20"/>
            <w:szCs w:val="16"/>
          </w:rPr>
          <w:instrText xml:space="preserve"> PAGE </w:instrText>
        </w:r>
        <w:r w:rsidRPr="001C02C1">
          <w:rPr>
            <w:sz w:val="20"/>
          </w:rPr>
          <w:fldChar w:fldCharType="separate"/>
        </w:r>
        <w:r>
          <w:rPr>
            <w:sz w:val="20"/>
          </w:rPr>
          <w:t>6</w:t>
        </w:r>
        <w:r w:rsidRPr="001C02C1">
          <w:rPr>
            <w:sz w:val="20"/>
          </w:rPr>
          <w:fldChar w:fldCharType="end"/>
        </w:r>
        <w:r w:rsidRPr="001C02C1">
          <w:rPr>
            <w:sz w:val="20"/>
            <w:szCs w:val="16"/>
          </w:rPr>
          <w:t xml:space="preserve"> of </w:t>
        </w:r>
        <w:r w:rsidRPr="001C02C1">
          <w:rPr>
            <w:sz w:val="20"/>
            <w:szCs w:val="16"/>
          </w:rPr>
          <w:fldChar w:fldCharType="begin"/>
        </w:r>
        <w:r w:rsidRPr="001C02C1">
          <w:rPr>
            <w:sz w:val="20"/>
            <w:szCs w:val="16"/>
          </w:rPr>
          <w:instrText xml:space="preserve"> NUMPAGES  </w:instrText>
        </w:r>
        <w:r w:rsidRPr="001C02C1">
          <w:rPr>
            <w:sz w:val="20"/>
            <w:szCs w:val="16"/>
          </w:rPr>
          <w:fldChar w:fldCharType="separate"/>
        </w:r>
        <w:r>
          <w:rPr>
            <w:sz w:val="20"/>
            <w:szCs w:val="16"/>
          </w:rPr>
          <w:t>22</w:t>
        </w:r>
        <w:r w:rsidRPr="001C02C1">
          <w:rPr>
            <w:noProof/>
            <w:sz w:val="20"/>
            <w:szCs w:val="16"/>
          </w:rPr>
          <w:fldChar w:fldCharType="end"/>
        </w:r>
      </w:p>
    </w:sdtContent>
  </w:sdt>
  <w:p w14:paraId="69A21AA7" w14:textId="1765D250" w:rsidR="009A7418" w:rsidRPr="001D34E1" w:rsidRDefault="009A7418" w:rsidP="0031730D">
    <w:pPr>
      <w:pStyle w:val="Footer"/>
      <w:widowControl w:val="0"/>
      <w:tabs>
        <w:tab w:val="center" w:pos="4320"/>
      </w:tabs>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2007993"/>
      <w:docPartObj>
        <w:docPartGallery w:val="Page Numbers (Top of Page)"/>
        <w:docPartUnique/>
      </w:docPartObj>
    </w:sdtPr>
    <w:sdtEndPr/>
    <w:sdtContent>
      <w:p w14:paraId="18A9F608" w14:textId="77777777" w:rsidR="003B3CEF" w:rsidRDefault="003B3CEF" w:rsidP="001D34E1">
        <w:pPr>
          <w:pStyle w:val="Footer"/>
          <w:jc w:val="center"/>
        </w:pPr>
      </w:p>
      <w:p w14:paraId="63634ED9" w14:textId="19E8F273" w:rsidR="001D34E1" w:rsidRPr="001C02C1" w:rsidRDefault="001D34E1" w:rsidP="001D34E1">
        <w:pPr>
          <w:pStyle w:val="Footer"/>
          <w:jc w:val="center"/>
          <w:rPr>
            <w:sz w:val="20"/>
            <w:szCs w:val="16"/>
          </w:rPr>
        </w:pPr>
        <w:r w:rsidRPr="001C02C1">
          <w:rPr>
            <w:sz w:val="20"/>
            <w:szCs w:val="16"/>
          </w:rPr>
          <w:t>Docket No. 43899</w:t>
        </w:r>
      </w:p>
      <w:p w14:paraId="73D4BF28" w14:textId="40240002" w:rsidR="001D34E1" w:rsidRPr="001C02C1" w:rsidRDefault="001D34E1" w:rsidP="001D34E1">
        <w:pPr>
          <w:pStyle w:val="Footer"/>
          <w:jc w:val="center"/>
          <w:rPr>
            <w:sz w:val="20"/>
            <w:szCs w:val="16"/>
          </w:rPr>
        </w:pPr>
        <w:r>
          <w:rPr>
            <w:sz w:val="20"/>
            <w:szCs w:val="16"/>
          </w:rPr>
          <w:t>Georgia Power Company’s Response to Sawnee Electric Membership Corporation’s Application for Full Commission Review</w:t>
        </w:r>
      </w:p>
      <w:p w14:paraId="1DFE788F" w14:textId="71016662" w:rsidR="001D34E1" w:rsidRDefault="001D34E1" w:rsidP="001D34E1">
        <w:pPr>
          <w:pStyle w:val="Footer"/>
          <w:widowControl w:val="0"/>
          <w:tabs>
            <w:tab w:val="center" w:pos="4320"/>
          </w:tabs>
          <w:jc w:val="center"/>
        </w:pPr>
        <w:r w:rsidRPr="001C02C1">
          <w:rPr>
            <w:sz w:val="20"/>
            <w:szCs w:val="16"/>
          </w:rPr>
          <w:t xml:space="preserve">Page </w:t>
        </w:r>
        <w:r w:rsidRPr="001C02C1">
          <w:rPr>
            <w:sz w:val="20"/>
          </w:rPr>
          <w:fldChar w:fldCharType="begin"/>
        </w:r>
        <w:r w:rsidRPr="001C02C1">
          <w:rPr>
            <w:sz w:val="20"/>
            <w:szCs w:val="16"/>
          </w:rPr>
          <w:instrText xml:space="preserve"> PAGE </w:instrText>
        </w:r>
        <w:r w:rsidRPr="001C02C1">
          <w:rPr>
            <w:sz w:val="20"/>
          </w:rPr>
          <w:fldChar w:fldCharType="separate"/>
        </w:r>
        <w:r>
          <w:rPr>
            <w:sz w:val="20"/>
          </w:rPr>
          <w:t>6</w:t>
        </w:r>
        <w:r w:rsidRPr="001C02C1">
          <w:rPr>
            <w:sz w:val="20"/>
          </w:rPr>
          <w:fldChar w:fldCharType="end"/>
        </w:r>
        <w:r w:rsidRPr="001C02C1">
          <w:rPr>
            <w:sz w:val="20"/>
            <w:szCs w:val="16"/>
          </w:rPr>
          <w:t xml:space="preserve"> of </w:t>
        </w:r>
        <w:r w:rsidRPr="001C02C1">
          <w:rPr>
            <w:sz w:val="20"/>
            <w:szCs w:val="16"/>
          </w:rPr>
          <w:fldChar w:fldCharType="begin"/>
        </w:r>
        <w:r w:rsidRPr="001C02C1">
          <w:rPr>
            <w:sz w:val="20"/>
            <w:szCs w:val="16"/>
          </w:rPr>
          <w:instrText xml:space="preserve"> NUMPAGES  </w:instrText>
        </w:r>
        <w:r w:rsidRPr="001C02C1">
          <w:rPr>
            <w:sz w:val="20"/>
            <w:szCs w:val="16"/>
          </w:rPr>
          <w:fldChar w:fldCharType="separate"/>
        </w:r>
        <w:r>
          <w:rPr>
            <w:sz w:val="20"/>
            <w:szCs w:val="16"/>
          </w:rPr>
          <w:t>22</w:t>
        </w:r>
        <w:r w:rsidRPr="001C02C1">
          <w:rPr>
            <w:noProof/>
            <w:sz w:val="20"/>
            <w:szCs w:val="16"/>
          </w:rPr>
          <w:fldChar w:fldCharType="end"/>
        </w:r>
      </w:p>
    </w:sdtContent>
  </w:sdt>
  <w:p w14:paraId="5DC1BA0E" w14:textId="4E9376EF" w:rsidR="009A7418" w:rsidRDefault="009A7418" w:rsidP="00B309AC">
    <w:pPr>
      <w:pStyle w:val="Footer"/>
      <w:widowControl w:val="0"/>
      <w:tabs>
        <w:tab w:val="center" w:pos="4320"/>
      </w:tabs>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C3444" w14:textId="77777777" w:rsidR="008A2769" w:rsidRDefault="008A2769" w:rsidP="0053663E">
      <w:r>
        <w:separator/>
      </w:r>
    </w:p>
  </w:footnote>
  <w:footnote w:type="continuationSeparator" w:id="0">
    <w:p w14:paraId="0EFD053E" w14:textId="77777777" w:rsidR="008A2769" w:rsidRDefault="008A2769" w:rsidP="00536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8B7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302DE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1255C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3BE5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71234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CA68B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E088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27447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3E8E4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0F0B9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88E0E67"/>
    <w:multiLevelType w:val="hybridMultilevel"/>
    <w:tmpl w:val="76A053D2"/>
    <w:lvl w:ilvl="0" w:tplc="A9F6BB4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136D13"/>
    <w:multiLevelType w:val="hybridMultilevel"/>
    <w:tmpl w:val="877A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B34288"/>
    <w:multiLevelType w:val="hybridMultilevel"/>
    <w:tmpl w:val="932C614A"/>
    <w:lvl w:ilvl="0" w:tplc="C8585EC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28024993"/>
    <w:docVar w:name="MPDocIDTemplate" w:val="%l| %n|v%v| %c|.%m"/>
    <w:docVar w:name="MPDocIDTemplateDefault" w:val="%l| %n|v%v| %c|.%m"/>
    <w:docVar w:name="NewDocStampType" w:val="7"/>
    <w:docVar w:name="zzmpLegacyTrailerRemovedNew" w:val="True"/>
    <w:docVar w:name="zzmpTrailerDateFormat" w:val="0"/>
  </w:docVars>
  <w:rsids>
    <w:rsidRoot w:val="0053663E"/>
    <w:rsid w:val="0000278E"/>
    <w:rsid w:val="000079F1"/>
    <w:rsid w:val="00012EA1"/>
    <w:rsid w:val="00034A91"/>
    <w:rsid w:val="00034BB3"/>
    <w:rsid w:val="000572BC"/>
    <w:rsid w:val="00074F51"/>
    <w:rsid w:val="000817C3"/>
    <w:rsid w:val="00082B9B"/>
    <w:rsid w:val="00084941"/>
    <w:rsid w:val="0009045D"/>
    <w:rsid w:val="000920F0"/>
    <w:rsid w:val="000966C4"/>
    <w:rsid w:val="000A2AB2"/>
    <w:rsid w:val="000A62F4"/>
    <w:rsid w:val="000B4DDE"/>
    <w:rsid w:val="000C0339"/>
    <w:rsid w:val="000C4384"/>
    <w:rsid w:val="000E5E65"/>
    <w:rsid w:val="000F22FF"/>
    <w:rsid w:val="00105CDE"/>
    <w:rsid w:val="00107D49"/>
    <w:rsid w:val="001100C1"/>
    <w:rsid w:val="001168EB"/>
    <w:rsid w:val="001229AB"/>
    <w:rsid w:val="00124E83"/>
    <w:rsid w:val="00131659"/>
    <w:rsid w:val="00135718"/>
    <w:rsid w:val="0014655F"/>
    <w:rsid w:val="00147CDB"/>
    <w:rsid w:val="00152EB5"/>
    <w:rsid w:val="00162197"/>
    <w:rsid w:val="0017780A"/>
    <w:rsid w:val="00181846"/>
    <w:rsid w:val="00191840"/>
    <w:rsid w:val="001919F0"/>
    <w:rsid w:val="0019279B"/>
    <w:rsid w:val="001A149E"/>
    <w:rsid w:val="001B5CE6"/>
    <w:rsid w:val="001C7635"/>
    <w:rsid w:val="001D19B2"/>
    <w:rsid w:val="001D33F0"/>
    <w:rsid w:val="001D34E1"/>
    <w:rsid w:val="001E2C2D"/>
    <w:rsid w:val="001E36FA"/>
    <w:rsid w:val="001F26E9"/>
    <w:rsid w:val="001F50B9"/>
    <w:rsid w:val="00205BB3"/>
    <w:rsid w:val="00210314"/>
    <w:rsid w:val="00222915"/>
    <w:rsid w:val="00223CBD"/>
    <w:rsid w:val="00230358"/>
    <w:rsid w:val="00231C64"/>
    <w:rsid w:val="0026414C"/>
    <w:rsid w:val="00264B53"/>
    <w:rsid w:val="002707A2"/>
    <w:rsid w:val="00296BE6"/>
    <w:rsid w:val="002A4FD0"/>
    <w:rsid w:val="002C1C1E"/>
    <w:rsid w:val="002C4DC3"/>
    <w:rsid w:val="002D2A15"/>
    <w:rsid w:val="002E3E60"/>
    <w:rsid w:val="00300953"/>
    <w:rsid w:val="003033D1"/>
    <w:rsid w:val="003043C7"/>
    <w:rsid w:val="003113E0"/>
    <w:rsid w:val="00314DE8"/>
    <w:rsid w:val="0031691E"/>
    <w:rsid w:val="0031730D"/>
    <w:rsid w:val="003207A9"/>
    <w:rsid w:val="0032322B"/>
    <w:rsid w:val="00331940"/>
    <w:rsid w:val="0033226A"/>
    <w:rsid w:val="00332D24"/>
    <w:rsid w:val="0033453B"/>
    <w:rsid w:val="00350967"/>
    <w:rsid w:val="003618B0"/>
    <w:rsid w:val="003761D4"/>
    <w:rsid w:val="00380371"/>
    <w:rsid w:val="00387E1D"/>
    <w:rsid w:val="00390B0A"/>
    <w:rsid w:val="003A2272"/>
    <w:rsid w:val="003B3CEF"/>
    <w:rsid w:val="003B444E"/>
    <w:rsid w:val="003B76C0"/>
    <w:rsid w:val="003D405C"/>
    <w:rsid w:val="003D6FAE"/>
    <w:rsid w:val="003E050A"/>
    <w:rsid w:val="003F5EE0"/>
    <w:rsid w:val="003F614C"/>
    <w:rsid w:val="004059D9"/>
    <w:rsid w:val="0041009E"/>
    <w:rsid w:val="00416E04"/>
    <w:rsid w:val="00427F55"/>
    <w:rsid w:val="00444913"/>
    <w:rsid w:val="0044689F"/>
    <w:rsid w:val="00453144"/>
    <w:rsid w:val="00463F5F"/>
    <w:rsid w:val="00473D25"/>
    <w:rsid w:val="00480C6E"/>
    <w:rsid w:val="004811D9"/>
    <w:rsid w:val="004A2592"/>
    <w:rsid w:val="004A25EF"/>
    <w:rsid w:val="004B5103"/>
    <w:rsid w:val="004C292F"/>
    <w:rsid w:val="004D26EF"/>
    <w:rsid w:val="004E25B6"/>
    <w:rsid w:val="004F45FE"/>
    <w:rsid w:val="004F59BE"/>
    <w:rsid w:val="004F68E7"/>
    <w:rsid w:val="004F74B2"/>
    <w:rsid w:val="00504841"/>
    <w:rsid w:val="00512EE0"/>
    <w:rsid w:val="005142CE"/>
    <w:rsid w:val="0051454B"/>
    <w:rsid w:val="005265AB"/>
    <w:rsid w:val="00533CF0"/>
    <w:rsid w:val="0053663E"/>
    <w:rsid w:val="00541EC3"/>
    <w:rsid w:val="00546F13"/>
    <w:rsid w:val="00553611"/>
    <w:rsid w:val="00561C13"/>
    <w:rsid w:val="00561EB6"/>
    <w:rsid w:val="00561FC3"/>
    <w:rsid w:val="005625DA"/>
    <w:rsid w:val="00565134"/>
    <w:rsid w:val="00570E75"/>
    <w:rsid w:val="00572419"/>
    <w:rsid w:val="00572D8B"/>
    <w:rsid w:val="005A360E"/>
    <w:rsid w:val="005A5899"/>
    <w:rsid w:val="005C360D"/>
    <w:rsid w:val="005C4B62"/>
    <w:rsid w:val="005D2892"/>
    <w:rsid w:val="005F2504"/>
    <w:rsid w:val="006155C2"/>
    <w:rsid w:val="006427EF"/>
    <w:rsid w:val="00643438"/>
    <w:rsid w:val="006462BA"/>
    <w:rsid w:val="00674799"/>
    <w:rsid w:val="00682A21"/>
    <w:rsid w:val="00685479"/>
    <w:rsid w:val="0069645B"/>
    <w:rsid w:val="006A1E7F"/>
    <w:rsid w:val="006B4BEC"/>
    <w:rsid w:val="006B4C4E"/>
    <w:rsid w:val="006D3558"/>
    <w:rsid w:val="006F47B3"/>
    <w:rsid w:val="006F56F9"/>
    <w:rsid w:val="006F73BA"/>
    <w:rsid w:val="006F78A2"/>
    <w:rsid w:val="0071134D"/>
    <w:rsid w:val="0075311C"/>
    <w:rsid w:val="00753EFB"/>
    <w:rsid w:val="007755BC"/>
    <w:rsid w:val="00785694"/>
    <w:rsid w:val="007873A6"/>
    <w:rsid w:val="007B0296"/>
    <w:rsid w:val="007B6907"/>
    <w:rsid w:val="007D2BEE"/>
    <w:rsid w:val="007E21FB"/>
    <w:rsid w:val="0080772B"/>
    <w:rsid w:val="00814BC7"/>
    <w:rsid w:val="00814EE3"/>
    <w:rsid w:val="008323A4"/>
    <w:rsid w:val="00833B7A"/>
    <w:rsid w:val="008436A9"/>
    <w:rsid w:val="0085453D"/>
    <w:rsid w:val="00861EFC"/>
    <w:rsid w:val="008634B8"/>
    <w:rsid w:val="008664EA"/>
    <w:rsid w:val="00867609"/>
    <w:rsid w:val="00880165"/>
    <w:rsid w:val="00892DE5"/>
    <w:rsid w:val="0089431D"/>
    <w:rsid w:val="008945AB"/>
    <w:rsid w:val="008A1A81"/>
    <w:rsid w:val="008A2769"/>
    <w:rsid w:val="008A37F0"/>
    <w:rsid w:val="008B712D"/>
    <w:rsid w:val="008C014B"/>
    <w:rsid w:val="008C7F99"/>
    <w:rsid w:val="008D1DCB"/>
    <w:rsid w:val="008E13E4"/>
    <w:rsid w:val="008E50AE"/>
    <w:rsid w:val="008F7BC5"/>
    <w:rsid w:val="00903166"/>
    <w:rsid w:val="00926381"/>
    <w:rsid w:val="00936EE3"/>
    <w:rsid w:val="00937A35"/>
    <w:rsid w:val="00951EB4"/>
    <w:rsid w:val="00952DB3"/>
    <w:rsid w:val="00974013"/>
    <w:rsid w:val="009757C3"/>
    <w:rsid w:val="00991A9C"/>
    <w:rsid w:val="00995A83"/>
    <w:rsid w:val="009A3EC9"/>
    <w:rsid w:val="009A5675"/>
    <w:rsid w:val="009A7418"/>
    <w:rsid w:val="009C2568"/>
    <w:rsid w:val="009D49D7"/>
    <w:rsid w:val="009D6852"/>
    <w:rsid w:val="009E3DED"/>
    <w:rsid w:val="009F03BD"/>
    <w:rsid w:val="009F0A36"/>
    <w:rsid w:val="009F1518"/>
    <w:rsid w:val="00A01DAD"/>
    <w:rsid w:val="00A313C1"/>
    <w:rsid w:val="00A43560"/>
    <w:rsid w:val="00A46E46"/>
    <w:rsid w:val="00A57C19"/>
    <w:rsid w:val="00A70AC6"/>
    <w:rsid w:val="00A80009"/>
    <w:rsid w:val="00A82596"/>
    <w:rsid w:val="00A95DBB"/>
    <w:rsid w:val="00AA0153"/>
    <w:rsid w:val="00AA0D90"/>
    <w:rsid w:val="00AA3360"/>
    <w:rsid w:val="00AA7A84"/>
    <w:rsid w:val="00AB267D"/>
    <w:rsid w:val="00AD3878"/>
    <w:rsid w:val="00AE1BA1"/>
    <w:rsid w:val="00AF4960"/>
    <w:rsid w:val="00AF627D"/>
    <w:rsid w:val="00B06CE8"/>
    <w:rsid w:val="00B11905"/>
    <w:rsid w:val="00B13F43"/>
    <w:rsid w:val="00B173F5"/>
    <w:rsid w:val="00B17736"/>
    <w:rsid w:val="00B24FC5"/>
    <w:rsid w:val="00B26C92"/>
    <w:rsid w:val="00B309AC"/>
    <w:rsid w:val="00B32DC7"/>
    <w:rsid w:val="00B425BA"/>
    <w:rsid w:val="00B4318B"/>
    <w:rsid w:val="00B51A45"/>
    <w:rsid w:val="00B679CA"/>
    <w:rsid w:val="00B71932"/>
    <w:rsid w:val="00B90636"/>
    <w:rsid w:val="00B91E72"/>
    <w:rsid w:val="00BB2DAD"/>
    <w:rsid w:val="00BC2CA8"/>
    <w:rsid w:val="00BC5029"/>
    <w:rsid w:val="00BC502F"/>
    <w:rsid w:val="00BD25D9"/>
    <w:rsid w:val="00BE6C01"/>
    <w:rsid w:val="00BF4173"/>
    <w:rsid w:val="00BF73DC"/>
    <w:rsid w:val="00C01947"/>
    <w:rsid w:val="00C10196"/>
    <w:rsid w:val="00C135BA"/>
    <w:rsid w:val="00C22B33"/>
    <w:rsid w:val="00C236A5"/>
    <w:rsid w:val="00C41E15"/>
    <w:rsid w:val="00C622EA"/>
    <w:rsid w:val="00C6562D"/>
    <w:rsid w:val="00C67DB3"/>
    <w:rsid w:val="00C708EB"/>
    <w:rsid w:val="00C7349A"/>
    <w:rsid w:val="00C76AAD"/>
    <w:rsid w:val="00C90111"/>
    <w:rsid w:val="00C9587E"/>
    <w:rsid w:val="00C9594E"/>
    <w:rsid w:val="00CA33AF"/>
    <w:rsid w:val="00CA36C3"/>
    <w:rsid w:val="00CA77AD"/>
    <w:rsid w:val="00CB7F36"/>
    <w:rsid w:val="00CC4574"/>
    <w:rsid w:val="00CE76A8"/>
    <w:rsid w:val="00CE7B40"/>
    <w:rsid w:val="00CF2B4B"/>
    <w:rsid w:val="00CF4698"/>
    <w:rsid w:val="00D00A25"/>
    <w:rsid w:val="00D0738F"/>
    <w:rsid w:val="00D112DC"/>
    <w:rsid w:val="00D1286A"/>
    <w:rsid w:val="00D12A3C"/>
    <w:rsid w:val="00D30E8F"/>
    <w:rsid w:val="00D30FDA"/>
    <w:rsid w:val="00D3458B"/>
    <w:rsid w:val="00D50592"/>
    <w:rsid w:val="00D5088F"/>
    <w:rsid w:val="00D5206A"/>
    <w:rsid w:val="00D6285F"/>
    <w:rsid w:val="00D62D85"/>
    <w:rsid w:val="00D75025"/>
    <w:rsid w:val="00D7655F"/>
    <w:rsid w:val="00DA15DA"/>
    <w:rsid w:val="00DA59BF"/>
    <w:rsid w:val="00DA5CB6"/>
    <w:rsid w:val="00DB3913"/>
    <w:rsid w:val="00DC38A1"/>
    <w:rsid w:val="00DC54A3"/>
    <w:rsid w:val="00DC58E1"/>
    <w:rsid w:val="00DC7041"/>
    <w:rsid w:val="00DD5DF7"/>
    <w:rsid w:val="00DD7660"/>
    <w:rsid w:val="00DE3BC6"/>
    <w:rsid w:val="00DF02AA"/>
    <w:rsid w:val="00E17C23"/>
    <w:rsid w:val="00E2263C"/>
    <w:rsid w:val="00E25736"/>
    <w:rsid w:val="00E37C96"/>
    <w:rsid w:val="00E42883"/>
    <w:rsid w:val="00E43E59"/>
    <w:rsid w:val="00E51432"/>
    <w:rsid w:val="00E51C8B"/>
    <w:rsid w:val="00E62F30"/>
    <w:rsid w:val="00E8398B"/>
    <w:rsid w:val="00E84C63"/>
    <w:rsid w:val="00E8708E"/>
    <w:rsid w:val="00EA6CD6"/>
    <w:rsid w:val="00EB4DDC"/>
    <w:rsid w:val="00EC05DF"/>
    <w:rsid w:val="00EC5789"/>
    <w:rsid w:val="00ED2D91"/>
    <w:rsid w:val="00ED3F90"/>
    <w:rsid w:val="00EE0A89"/>
    <w:rsid w:val="00EF2340"/>
    <w:rsid w:val="00F323ED"/>
    <w:rsid w:val="00F32871"/>
    <w:rsid w:val="00F3290C"/>
    <w:rsid w:val="00F347B2"/>
    <w:rsid w:val="00F35D84"/>
    <w:rsid w:val="00F42187"/>
    <w:rsid w:val="00F423CD"/>
    <w:rsid w:val="00F43B4F"/>
    <w:rsid w:val="00F52CE3"/>
    <w:rsid w:val="00F61406"/>
    <w:rsid w:val="00F772EA"/>
    <w:rsid w:val="00F83310"/>
    <w:rsid w:val="00F844C2"/>
    <w:rsid w:val="00F8497B"/>
    <w:rsid w:val="00F96D07"/>
    <w:rsid w:val="00FA152B"/>
    <w:rsid w:val="00FB0888"/>
    <w:rsid w:val="00FB381F"/>
    <w:rsid w:val="00FB3F61"/>
    <w:rsid w:val="00FD0439"/>
    <w:rsid w:val="00FD324F"/>
    <w:rsid w:val="00FD6FCA"/>
    <w:rsid w:val="00FE4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F0DCA13"/>
  <w15:chartTrackingRefBased/>
  <w15:docId w15:val="{FB6EDC08-3204-4014-9F9F-FF510FCF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63E"/>
    <w:pPr>
      <w:spacing w:after="0"/>
    </w:pPr>
    <w:rPr>
      <w:rFonts w:cs="Times New Roman"/>
    </w:rPr>
  </w:style>
  <w:style w:type="paragraph" w:styleId="Heading1">
    <w:name w:val="heading 1"/>
    <w:basedOn w:val="Normal"/>
    <w:next w:val="SSBodyText"/>
    <w:link w:val="Heading1Char"/>
    <w:uiPriority w:val="9"/>
    <w:rsid w:val="00F83310"/>
    <w:pPr>
      <w:keepNext/>
      <w:keepLines/>
      <w:spacing w:after="240"/>
      <w:outlineLvl w:val="0"/>
    </w:pPr>
    <w:rPr>
      <w:rFonts w:eastAsiaTheme="majorEastAsia" w:cstheme="majorBidi"/>
      <w:b/>
      <w:szCs w:val="32"/>
    </w:rPr>
  </w:style>
  <w:style w:type="paragraph" w:styleId="Heading2">
    <w:name w:val="heading 2"/>
    <w:basedOn w:val="Normal"/>
    <w:next w:val="SSBodyText"/>
    <w:link w:val="Heading2Char"/>
    <w:uiPriority w:val="9"/>
    <w:rsid w:val="00F83310"/>
    <w:pPr>
      <w:keepNext/>
      <w:keepLines/>
      <w:spacing w:after="240"/>
      <w:ind w:left="720"/>
      <w:outlineLvl w:val="1"/>
    </w:pPr>
    <w:rPr>
      <w:rFonts w:eastAsiaTheme="majorEastAsia" w:cstheme="majorBidi"/>
      <w:b/>
      <w:szCs w:val="26"/>
    </w:rPr>
  </w:style>
  <w:style w:type="paragraph" w:styleId="Heading3">
    <w:name w:val="heading 3"/>
    <w:basedOn w:val="Normal"/>
    <w:next w:val="SSBodyText"/>
    <w:link w:val="Heading3Char"/>
    <w:uiPriority w:val="9"/>
    <w:rsid w:val="00F83310"/>
    <w:pPr>
      <w:keepNext/>
      <w:keepLines/>
      <w:spacing w:after="240"/>
      <w:ind w:left="1440"/>
      <w:outlineLvl w:val="2"/>
    </w:pPr>
    <w:rPr>
      <w:rFonts w:eastAsiaTheme="majorEastAsia" w:cstheme="majorBidi"/>
    </w:rPr>
  </w:style>
  <w:style w:type="paragraph" w:styleId="Heading4">
    <w:name w:val="heading 4"/>
    <w:basedOn w:val="Normal"/>
    <w:next w:val="SSBodyText"/>
    <w:link w:val="Heading4Char"/>
    <w:uiPriority w:val="9"/>
    <w:rsid w:val="00F83310"/>
    <w:pPr>
      <w:keepNext/>
      <w:keepLines/>
      <w:spacing w:after="240"/>
      <w:ind w:left="2160"/>
      <w:outlineLvl w:val="3"/>
    </w:pPr>
    <w:rPr>
      <w:rFonts w:eastAsiaTheme="majorEastAsia" w:cstheme="majorBidi"/>
      <w:iCs/>
    </w:rPr>
  </w:style>
  <w:style w:type="paragraph" w:styleId="Heading5">
    <w:name w:val="heading 5"/>
    <w:basedOn w:val="Normal"/>
    <w:next w:val="SSBodyText"/>
    <w:link w:val="Heading5Char"/>
    <w:uiPriority w:val="9"/>
    <w:semiHidden/>
    <w:unhideWhenUsed/>
    <w:rsid w:val="00F83310"/>
    <w:pPr>
      <w:keepNext/>
      <w:keepLines/>
      <w:spacing w:after="240"/>
      <w:ind w:left="2880"/>
      <w:outlineLvl w:val="4"/>
    </w:pPr>
    <w:rPr>
      <w:rFonts w:eastAsiaTheme="majorEastAsia" w:cstheme="majorBidi"/>
    </w:rPr>
  </w:style>
  <w:style w:type="paragraph" w:styleId="Heading6">
    <w:name w:val="heading 6"/>
    <w:basedOn w:val="Normal"/>
    <w:next w:val="SSBodyText"/>
    <w:link w:val="Heading6Char"/>
    <w:uiPriority w:val="9"/>
    <w:semiHidden/>
    <w:unhideWhenUsed/>
    <w:rsid w:val="00F83310"/>
    <w:pPr>
      <w:keepNext/>
      <w:keepLines/>
      <w:spacing w:after="240"/>
      <w:ind w:left="3600"/>
      <w:outlineLvl w:val="5"/>
    </w:pPr>
    <w:rPr>
      <w:rFonts w:eastAsiaTheme="majorEastAsia" w:cstheme="majorBidi"/>
    </w:rPr>
  </w:style>
  <w:style w:type="paragraph" w:styleId="Heading7">
    <w:name w:val="heading 7"/>
    <w:basedOn w:val="Normal"/>
    <w:next w:val="SSBodyText"/>
    <w:link w:val="Heading7Char"/>
    <w:uiPriority w:val="9"/>
    <w:semiHidden/>
    <w:unhideWhenUsed/>
    <w:rsid w:val="00F83310"/>
    <w:pPr>
      <w:keepNext/>
      <w:keepLines/>
      <w:spacing w:after="240"/>
      <w:ind w:left="4320"/>
      <w:outlineLvl w:val="6"/>
    </w:pPr>
    <w:rPr>
      <w:rFonts w:eastAsiaTheme="majorEastAsia" w:cstheme="majorBidi"/>
      <w:iCs/>
    </w:rPr>
  </w:style>
  <w:style w:type="paragraph" w:styleId="Heading8">
    <w:name w:val="heading 8"/>
    <w:basedOn w:val="Normal"/>
    <w:next w:val="SSBodyText"/>
    <w:link w:val="Heading8Char"/>
    <w:uiPriority w:val="9"/>
    <w:unhideWhenUsed/>
    <w:rsid w:val="00F83310"/>
    <w:pPr>
      <w:keepNext/>
      <w:keepLines/>
      <w:spacing w:after="240"/>
      <w:ind w:left="5040"/>
      <w:outlineLvl w:val="7"/>
    </w:pPr>
    <w:rPr>
      <w:rFonts w:eastAsiaTheme="majorEastAsia" w:cstheme="majorBidi"/>
      <w:szCs w:val="21"/>
    </w:rPr>
  </w:style>
  <w:style w:type="paragraph" w:styleId="Heading9">
    <w:name w:val="heading 9"/>
    <w:basedOn w:val="Normal"/>
    <w:next w:val="SSBodyText"/>
    <w:link w:val="Heading9Char"/>
    <w:uiPriority w:val="9"/>
    <w:semiHidden/>
    <w:unhideWhenUsed/>
    <w:rsid w:val="00F83310"/>
    <w:pPr>
      <w:keepNext/>
      <w:keepLines/>
      <w:spacing w:after="240"/>
      <w:ind w:left="5760"/>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BodyText">
    <w:name w:val="SS Body Text"/>
    <w:basedOn w:val="Normal"/>
    <w:qFormat/>
    <w:rsid w:val="00AD3878"/>
    <w:pPr>
      <w:ind w:firstLine="720"/>
    </w:pPr>
  </w:style>
  <w:style w:type="paragraph" w:customStyle="1" w:styleId="DBBodyText">
    <w:name w:val="DB Body Text"/>
    <w:basedOn w:val="Normal"/>
    <w:uiPriority w:val="2"/>
    <w:qFormat/>
    <w:rsid w:val="00AD3878"/>
    <w:pPr>
      <w:spacing w:line="480" w:lineRule="auto"/>
      <w:ind w:firstLine="720"/>
    </w:pPr>
  </w:style>
  <w:style w:type="paragraph" w:customStyle="1" w:styleId="SSJBodyText">
    <w:name w:val="SSJ Body Text"/>
    <w:basedOn w:val="Normal"/>
    <w:qFormat/>
    <w:rsid w:val="00AD3878"/>
    <w:pPr>
      <w:ind w:firstLine="720"/>
      <w:jc w:val="both"/>
    </w:pPr>
  </w:style>
  <w:style w:type="paragraph" w:customStyle="1" w:styleId="DBJBodyText">
    <w:name w:val="DBJ Body Text"/>
    <w:basedOn w:val="Normal"/>
    <w:uiPriority w:val="2"/>
    <w:qFormat/>
    <w:rsid w:val="00AD3878"/>
    <w:pPr>
      <w:spacing w:line="480" w:lineRule="auto"/>
      <w:ind w:firstLine="720"/>
      <w:jc w:val="both"/>
    </w:pPr>
  </w:style>
  <w:style w:type="paragraph" w:styleId="Quote">
    <w:name w:val="Quote"/>
    <w:basedOn w:val="Normal"/>
    <w:next w:val="BodyTextContinued"/>
    <w:link w:val="QuoteChar"/>
    <w:qFormat/>
    <w:rsid w:val="005142CE"/>
    <w:pPr>
      <w:spacing w:after="240"/>
      <w:ind w:left="1440" w:right="1440"/>
    </w:pPr>
    <w:rPr>
      <w:szCs w:val="20"/>
    </w:rPr>
  </w:style>
  <w:style w:type="character" w:customStyle="1" w:styleId="QuoteChar">
    <w:name w:val="Quote Char"/>
    <w:basedOn w:val="DefaultParagraphFont"/>
    <w:link w:val="Quote"/>
    <w:rsid w:val="0000278E"/>
    <w:rPr>
      <w:rFonts w:cs="Times New Roman"/>
      <w:szCs w:val="20"/>
    </w:rPr>
  </w:style>
  <w:style w:type="paragraph" w:styleId="Title">
    <w:name w:val="Title"/>
    <w:basedOn w:val="Normal"/>
    <w:next w:val="SSBodyText"/>
    <w:link w:val="TitleChar"/>
    <w:uiPriority w:val="4"/>
    <w:qFormat/>
    <w:rsid w:val="008B712D"/>
    <w:pPr>
      <w:outlineLvl w:val="0"/>
    </w:pPr>
    <w:rPr>
      <w:rFonts w:eastAsiaTheme="majorEastAsia" w:cstheme="majorBidi"/>
      <w:szCs w:val="56"/>
    </w:rPr>
  </w:style>
  <w:style w:type="character" w:customStyle="1" w:styleId="TitleChar">
    <w:name w:val="Title Char"/>
    <w:basedOn w:val="DefaultParagraphFont"/>
    <w:link w:val="Title"/>
    <w:uiPriority w:val="4"/>
    <w:rsid w:val="008B712D"/>
    <w:rPr>
      <w:rFonts w:ascii="Times New Roman" w:eastAsiaTheme="majorEastAsia" w:hAnsi="Times New Roman" w:cstheme="majorBidi"/>
      <w:sz w:val="24"/>
      <w:szCs w:val="56"/>
    </w:rPr>
  </w:style>
  <w:style w:type="paragraph" w:customStyle="1" w:styleId="TitleBold">
    <w:name w:val="Title Bold"/>
    <w:basedOn w:val="Normal"/>
    <w:next w:val="SSBodyText"/>
    <w:uiPriority w:val="4"/>
    <w:qFormat/>
    <w:rsid w:val="006F78A2"/>
    <w:pPr>
      <w:outlineLvl w:val="0"/>
    </w:pPr>
    <w:rPr>
      <w:b/>
    </w:rPr>
  </w:style>
  <w:style w:type="character" w:customStyle="1" w:styleId="Heading1Char">
    <w:name w:val="Heading 1 Char"/>
    <w:basedOn w:val="DefaultParagraphFont"/>
    <w:link w:val="Heading1"/>
    <w:uiPriority w:val="9"/>
    <w:rsid w:val="00F83310"/>
    <w:rPr>
      <w:rFonts w:eastAsiaTheme="majorEastAsia" w:cstheme="majorBidi"/>
      <w:b/>
      <w:szCs w:val="32"/>
    </w:rPr>
  </w:style>
  <w:style w:type="character" w:customStyle="1" w:styleId="Heading2Char">
    <w:name w:val="Heading 2 Char"/>
    <w:basedOn w:val="DefaultParagraphFont"/>
    <w:link w:val="Heading2"/>
    <w:uiPriority w:val="9"/>
    <w:rsid w:val="00F83310"/>
    <w:rPr>
      <w:rFonts w:eastAsiaTheme="majorEastAsia" w:cstheme="majorBidi"/>
      <w:b/>
      <w:szCs w:val="26"/>
    </w:rPr>
  </w:style>
  <w:style w:type="character" w:customStyle="1" w:styleId="Heading3Char">
    <w:name w:val="Heading 3 Char"/>
    <w:basedOn w:val="DefaultParagraphFont"/>
    <w:link w:val="Heading3"/>
    <w:uiPriority w:val="9"/>
    <w:rsid w:val="00F83310"/>
    <w:rPr>
      <w:rFonts w:eastAsiaTheme="majorEastAsia" w:cstheme="majorBidi"/>
    </w:rPr>
  </w:style>
  <w:style w:type="character" w:customStyle="1" w:styleId="Heading4Char">
    <w:name w:val="Heading 4 Char"/>
    <w:basedOn w:val="DefaultParagraphFont"/>
    <w:link w:val="Heading4"/>
    <w:uiPriority w:val="9"/>
    <w:rsid w:val="00F83310"/>
    <w:rPr>
      <w:rFonts w:eastAsiaTheme="majorEastAsia" w:cstheme="majorBidi"/>
      <w:iCs/>
    </w:rPr>
  </w:style>
  <w:style w:type="character" w:customStyle="1" w:styleId="Heading5Char">
    <w:name w:val="Heading 5 Char"/>
    <w:basedOn w:val="DefaultParagraphFont"/>
    <w:link w:val="Heading5"/>
    <w:uiPriority w:val="9"/>
    <w:semiHidden/>
    <w:rsid w:val="00F83310"/>
    <w:rPr>
      <w:rFonts w:eastAsiaTheme="majorEastAsia" w:cstheme="majorBidi"/>
    </w:rPr>
  </w:style>
  <w:style w:type="character" w:customStyle="1" w:styleId="Heading6Char">
    <w:name w:val="Heading 6 Char"/>
    <w:basedOn w:val="DefaultParagraphFont"/>
    <w:link w:val="Heading6"/>
    <w:uiPriority w:val="9"/>
    <w:semiHidden/>
    <w:rsid w:val="00F83310"/>
    <w:rPr>
      <w:rFonts w:eastAsiaTheme="majorEastAsia" w:cstheme="majorBidi"/>
    </w:rPr>
  </w:style>
  <w:style w:type="character" w:customStyle="1" w:styleId="Heading7Char">
    <w:name w:val="Heading 7 Char"/>
    <w:basedOn w:val="DefaultParagraphFont"/>
    <w:link w:val="Heading7"/>
    <w:uiPriority w:val="9"/>
    <w:semiHidden/>
    <w:rsid w:val="00F83310"/>
    <w:rPr>
      <w:rFonts w:eastAsiaTheme="majorEastAsia" w:cstheme="majorBidi"/>
      <w:iCs/>
    </w:rPr>
  </w:style>
  <w:style w:type="character" w:customStyle="1" w:styleId="Heading8Char">
    <w:name w:val="Heading 8 Char"/>
    <w:basedOn w:val="DefaultParagraphFont"/>
    <w:link w:val="Heading8"/>
    <w:uiPriority w:val="9"/>
    <w:rsid w:val="00F83310"/>
    <w:rPr>
      <w:rFonts w:eastAsiaTheme="majorEastAsia" w:cstheme="majorBidi"/>
      <w:szCs w:val="21"/>
    </w:rPr>
  </w:style>
  <w:style w:type="character" w:customStyle="1" w:styleId="Heading9Char">
    <w:name w:val="Heading 9 Char"/>
    <w:basedOn w:val="DefaultParagraphFont"/>
    <w:link w:val="Heading9"/>
    <w:uiPriority w:val="9"/>
    <w:semiHidden/>
    <w:rsid w:val="00F83310"/>
    <w:rPr>
      <w:rFonts w:eastAsiaTheme="majorEastAsia" w:cstheme="majorBidi"/>
      <w:iCs/>
      <w:szCs w:val="21"/>
    </w:rPr>
  </w:style>
  <w:style w:type="paragraph" w:styleId="Header">
    <w:name w:val="header"/>
    <w:basedOn w:val="Normal"/>
    <w:link w:val="HeaderChar"/>
    <w:rsid w:val="005142CE"/>
    <w:pPr>
      <w:tabs>
        <w:tab w:val="center" w:pos="4680"/>
        <w:tab w:val="right" w:pos="9360"/>
      </w:tabs>
    </w:pPr>
  </w:style>
  <w:style w:type="character" w:customStyle="1" w:styleId="HeaderChar">
    <w:name w:val="Header Char"/>
    <w:basedOn w:val="DefaultParagraphFont"/>
    <w:link w:val="Header"/>
    <w:rsid w:val="0000278E"/>
    <w:rPr>
      <w:rFonts w:cs="Times New Roman"/>
    </w:rPr>
  </w:style>
  <w:style w:type="paragraph" w:styleId="Footer">
    <w:name w:val="footer"/>
    <w:basedOn w:val="Normal"/>
    <w:link w:val="FooterChar"/>
    <w:uiPriority w:val="99"/>
    <w:rsid w:val="005142CE"/>
    <w:pPr>
      <w:tabs>
        <w:tab w:val="center" w:pos="4680"/>
        <w:tab w:val="right" w:pos="9360"/>
      </w:tabs>
    </w:pPr>
  </w:style>
  <w:style w:type="character" w:customStyle="1" w:styleId="FooterChar">
    <w:name w:val="Footer Char"/>
    <w:basedOn w:val="DefaultParagraphFont"/>
    <w:link w:val="Footer"/>
    <w:uiPriority w:val="99"/>
    <w:rsid w:val="0000278E"/>
    <w:rPr>
      <w:rFonts w:cs="Times New Roman"/>
    </w:rPr>
  </w:style>
  <w:style w:type="character" w:styleId="PageNumber">
    <w:name w:val="page number"/>
    <w:basedOn w:val="DefaultParagraphFont"/>
    <w:rsid w:val="005142CE"/>
  </w:style>
  <w:style w:type="paragraph" w:customStyle="1" w:styleId="SigBlock">
    <w:name w:val="Sig Block"/>
    <w:basedOn w:val="Normal"/>
    <w:uiPriority w:val="4"/>
    <w:rsid w:val="00F83310"/>
    <w:pPr>
      <w:spacing w:after="240"/>
      <w:ind w:left="4680"/>
      <w:contextualSpacing/>
    </w:pPr>
  </w:style>
  <w:style w:type="paragraph" w:customStyle="1" w:styleId="SigBlockUnderline">
    <w:name w:val="Sig Block Underline"/>
    <w:basedOn w:val="Normal"/>
    <w:next w:val="SigBlock"/>
    <w:uiPriority w:val="4"/>
    <w:rsid w:val="00F83310"/>
    <w:pPr>
      <w:tabs>
        <w:tab w:val="right" w:pos="9360"/>
      </w:tabs>
      <w:ind w:left="4680"/>
    </w:pPr>
    <w:rPr>
      <w:u w:val="single"/>
    </w:rPr>
  </w:style>
  <w:style w:type="paragraph" w:styleId="BodyText">
    <w:name w:val="Body Text"/>
    <w:basedOn w:val="Normal"/>
    <w:link w:val="BodyTextChar"/>
    <w:rsid w:val="005142CE"/>
    <w:pPr>
      <w:widowControl w:val="0"/>
      <w:spacing w:after="240"/>
      <w:ind w:firstLine="720"/>
    </w:pPr>
  </w:style>
  <w:style w:type="character" w:customStyle="1" w:styleId="BodyTextChar">
    <w:name w:val="Body Text Char"/>
    <w:basedOn w:val="DefaultParagraphFont"/>
    <w:link w:val="BodyText"/>
    <w:rsid w:val="00785694"/>
    <w:rPr>
      <w:rFonts w:cs="Times New Roman"/>
    </w:rPr>
  </w:style>
  <w:style w:type="paragraph" w:customStyle="1" w:styleId="BodyTextContinued">
    <w:name w:val="Body Text Continued"/>
    <w:basedOn w:val="BodyText"/>
    <w:next w:val="BodyText"/>
    <w:rsid w:val="005142CE"/>
    <w:pPr>
      <w:ind w:firstLine="0"/>
    </w:pPr>
    <w:rPr>
      <w:szCs w:val="20"/>
    </w:rPr>
  </w:style>
  <w:style w:type="paragraph" w:styleId="ListParagraph">
    <w:name w:val="List Paragraph"/>
    <w:basedOn w:val="Normal"/>
    <w:uiPriority w:val="34"/>
    <w:rsid w:val="00AE1BA1"/>
    <w:pPr>
      <w:ind w:left="720"/>
      <w:contextualSpacing/>
    </w:pPr>
  </w:style>
  <w:style w:type="character" w:styleId="CommentReference">
    <w:name w:val="annotation reference"/>
    <w:basedOn w:val="DefaultParagraphFont"/>
    <w:uiPriority w:val="99"/>
    <w:semiHidden/>
    <w:unhideWhenUsed/>
    <w:rsid w:val="00223CBD"/>
    <w:rPr>
      <w:sz w:val="16"/>
      <w:szCs w:val="16"/>
    </w:rPr>
  </w:style>
  <w:style w:type="paragraph" w:styleId="CommentText">
    <w:name w:val="annotation text"/>
    <w:basedOn w:val="Normal"/>
    <w:link w:val="CommentTextChar"/>
    <w:uiPriority w:val="99"/>
    <w:semiHidden/>
    <w:unhideWhenUsed/>
    <w:rsid w:val="00223CBD"/>
    <w:rPr>
      <w:sz w:val="20"/>
      <w:szCs w:val="20"/>
    </w:rPr>
  </w:style>
  <w:style w:type="character" w:customStyle="1" w:styleId="CommentTextChar">
    <w:name w:val="Comment Text Char"/>
    <w:basedOn w:val="DefaultParagraphFont"/>
    <w:link w:val="CommentText"/>
    <w:uiPriority w:val="99"/>
    <w:semiHidden/>
    <w:rsid w:val="00223CBD"/>
    <w:rPr>
      <w:rFonts w:cs="Times New Roman"/>
      <w:sz w:val="20"/>
      <w:szCs w:val="20"/>
    </w:rPr>
  </w:style>
  <w:style w:type="paragraph" w:styleId="CommentSubject">
    <w:name w:val="annotation subject"/>
    <w:basedOn w:val="CommentText"/>
    <w:next w:val="CommentText"/>
    <w:link w:val="CommentSubjectChar"/>
    <w:uiPriority w:val="99"/>
    <w:semiHidden/>
    <w:unhideWhenUsed/>
    <w:rsid w:val="00223CBD"/>
    <w:rPr>
      <w:b/>
      <w:bCs/>
    </w:rPr>
  </w:style>
  <w:style w:type="character" w:customStyle="1" w:styleId="CommentSubjectChar">
    <w:name w:val="Comment Subject Char"/>
    <w:basedOn w:val="CommentTextChar"/>
    <w:link w:val="CommentSubject"/>
    <w:uiPriority w:val="99"/>
    <w:semiHidden/>
    <w:rsid w:val="00223CBD"/>
    <w:rPr>
      <w:rFonts w:cs="Times New Roman"/>
      <w:b/>
      <w:bCs/>
      <w:sz w:val="20"/>
      <w:szCs w:val="20"/>
    </w:rPr>
  </w:style>
  <w:style w:type="paragraph" w:styleId="FootnoteText">
    <w:name w:val="footnote text"/>
    <w:basedOn w:val="Normal"/>
    <w:link w:val="FootnoteTextChar"/>
    <w:uiPriority w:val="99"/>
    <w:semiHidden/>
    <w:unhideWhenUsed/>
    <w:rsid w:val="00EC5789"/>
    <w:rPr>
      <w:sz w:val="20"/>
      <w:szCs w:val="20"/>
    </w:rPr>
  </w:style>
  <w:style w:type="character" w:customStyle="1" w:styleId="FootnoteTextChar">
    <w:name w:val="Footnote Text Char"/>
    <w:basedOn w:val="DefaultParagraphFont"/>
    <w:link w:val="FootnoteText"/>
    <w:uiPriority w:val="99"/>
    <w:semiHidden/>
    <w:rsid w:val="00EC5789"/>
    <w:rPr>
      <w:rFonts w:cs="Times New Roman"/>
      <w:sz w:val="20"/>
      <w:szCs w:val="20"/>
    </w:rPr>
  </w:style>
  <w:style w:type="character" w:styleId="FootnoteReference">
    <w:name w:val="footnote reference"/>
    <w:basedOn w:val="DefaultParagraphFont"/>
    <w:uiPriority w:val="99"/>
    <w:semiHidden/>
    <w:unhideWhenUsed/>
    <w:rsid w:val="00EC5789"/>
    <w:rPr>
      <w:vertAlign w:val="superscript"/>
    </w:rPr>
  </w:style>
  <w:style w:type="paragraph" w:styleId="Revision">
    <w:name w:val="Revision"/>
    <w:hidden/>
    <w:uiPriority w:val="99"/>
    <w:semiHidden/>
    <w:rsid w:val="00C76AAD"/>
    <w:pPr>
      <w:spacing w:after="0"/>
    </w:pPr>
    <w:rPr>
      <w:rFonts w:cs="Times New Roman"/>
    </w:rPr>
  </w:style>
  <w:style w:type="character" w:customStyle="1" w:styleId="zzmpTrailerItem">
    <w:name w:val="zzmpTrailerItem"/>
    <w:basedOn w:val="DefaultParagraphFont"/>
    <w:rsid w:val="003113E0"/>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31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5E58-98AC-4991-A7ED-5191A529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3589</Words>
  <Characters>20459</Characters>
  <Application>Microsoft Office Word</Application>
  <DocSecurity>4</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Daigle, Matthew C.</dc:creator>
  <cp:keywords/>
  <dc:description/>
  <cp:lastModifiedBy>Pendergrass, Susan G.</cp:lastModifiedBy>
  <cp:revision>2</cp:revision>
  <cp:lastPrinted>2022-07-07T20:59:00Z</cp:lastPrinted>
  <dcterms:created xsi:type="dcterms:W3CDTF">2022-07-29T18:07:00Z</dcterms:created>
  <dcterms:modified xsi:type="dcterms:W3CDTF">2022-07-29T18:07:00Z</dcterms:modified>
</cp:coreProperties>
</file>